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LEY ORGÁNICA FISCAL</w:t>
      </w:r>
    </w:p>
    <w:p>
      <w:pPr>
        <w:jc w:val="center"/>
      </w:pPr>
      <w:r>
        <w:t>Versión 2.1 definitiva del proyecto · Texto reglamentario consolidado</w:t>
      </w:r>
    </w:p>
    <w:p>
      <w:r>
        <w:t>Versión 2.1 definitiva: amplía protocolos operativos y reglamenta el Régimen de Recuperación con doble brecha B_t^EST/B_t^REC.</w:t>
      </w:r>
    </w:p>
    <w:p>
      <w:r>
        <w:t>Nota editorial: propuesta de ley complementaria. La numeración se reestructura y sustituye la numeración extensa de borradores de trabajo anteriores.</w:t>
      </w:r>
    </w:p>
    <w:p>
      <w:pPr>
        <w:pStyle w:val="Heading1"/>
      </w:pPr>
      <w:r>
        <w:t>TÍTULO I — DISPOSICIONES GENERALES, JERARQUÍA Y DEFINICIONES</w:t>
      </w:r>
    </w:p>
    <w:p>
      <w:pPr>
        <w:pStyle w:val="Heading2"/>
      </w:pPr>
      <w:r>
        <w:t>Artículo 1 — Objeto</w:t>
      </w:r>
    </w:p>
    <w:p>
      <w:r>
        <w:t>La presente ley reglamenta la Constitución Fiscal sin poder alterar su sustancia, fórmulas, porcentajes, períodos ni condiciones de excepción.</w:t>
      </w:r>
    </w:p>
    <w:p>
      <w:pPr>
        <w:pStyle w:val="Heading2"/>
      </w:pPr>
      <w:r>
        <w:t>Artículo 2 — Jerarquía</w:t>
      </w:r>
    </w:p>
    <w:p>
      <w:r>
        <w:t>Toda disposición de esta ley se interpretará subordinada a la Constitución Fiscal; la duda no podrá resolverse creando capacidad fiscal adicional.</w:t>
      </w:r>
    </w:p>
    <w:p>
      <w:pPr>
        <w:pStyle w:val="Heading2"/>
      </w:pPr>
      <w:r>
        <w:t>Artículo 3 — Perímetro fiscal</w:t>
      </w:r>
    </w:p>
    <w:p>
      <w:r>
        <w:t>Se mantendrá un registro versionado del Sector Público Fiscal Computable con criterios de control, riesgo, dependencia y garantías.</w:t>
      </w:r>
    </w:p>
    <w:p>
      <w:pPr>
        <w:pStyle w:val="Heading2"/>
      </w:pPr>
      <w:r>
        <w:t>Artículo 4 — Sustancia económica</w:t>
      </w:r>
    </w:p>
    <w:p>
      <w:r>
        <w:t>Las operaciones se clasificarán por su efecto económico individual y conjunto.</w:t>
      </w:r>
    </w:p>
    <w:p>
      <w:pPr>
        <w:pStyle w:val="Heading2"/>
      </w:pPr>
      <w:r>
        <w:t>Artículo 5 — Operaciones vinculadas</w:t>
      </w:r>
    </w:p>
    <w:p>
      <w:r>
        <w:t>Dos o más actos se integrarán cuando su separación formal impida reflejar razonablemente la sustancia conjunta.</w:t>
      </w:r>
    </w:p>
    <w:p>
      <w:pPr>
        <w:pStyle w:val="Heading2"/>
      </w:pPr>
      <w:r>
        <w:t>Artículo 6 — Ingresos</w:t>
      </w:r>
    </w:p>
    <w:p>
      <w:r>
        <w:t>Se distinguirán R_t*, R_t^tot y R_t^temp. R_t* se medirá sobre base percibida, con atribución temporal antifraude: el cobro deberá haber ingresado efectivamente en el período y no podrá adelantarse desde períodos futuros ni incluir recursos reintegrables, financiación o partidas no estructurales.</w:t>
      </w:r>
    </w:p>
    <w:p>
      <w:pPr>
        <w:pStyle w:val="Heading2"/>
      </w:pPr>
      <w:r>
        <w:t>Artículo 7 — Gastos</w:t>
      </w:r>
    </w:p>
    <w:p>
      <w:r>
        <w:t>Se distinguirán G_t^ef, G_t^ord, G_t^EM, G_t^base y G_t^max.</w:t>
      </w:r>
    </w:p>
    <w:p>
      <w:pPr>
        <w:pStyle w:val="Heading2"/>
      </w:pPr>
      <w:r>
        <w:t>Artículo 8 — Stocks y flujos</w:t>
      </w:r>
    </w:p>
    <w:p>
      <w:r>
        <w:t>Toda metodología identificará naturaleza de stock o flujo y fecha de corte.</w:t>
      </w:r>
    </w:p>
    <w:p>
      <w:pPr>
        <w:pStyle w:val="Heading2"/>
      </w:pPr>
      <w:r>
        <w:t>Artículo 9 — Proyección y realizado</w:t>
      </w:r>
    </w:p>
    <w:p>
      <w:r>
        <w:t>Las proyecciones llevarán identificación inequívoca y nunca sustituirán datos realizados en certificaciones definitivas.</w:t>
      </w:r>
    </w:p>
    <w:p>
      <w:pPr>
        <w:pStyle w:val="Heading2"/>
      </w:pPr>
      <w:r>
        <w:t>Artículo 10 — NULL</w:t>
      </w:r>
    </w:p>
    <w:p>
      <w:r>
        <w:t>La ausencia de dato no se tratará como cero.</w:t>
      </w:r>
    </w:p>
    <w:p>
      <w:pPr>
        <w:pStyle w:val="Heading1"/>
      </w:pPr>
      <w:r>
        <w:t>TÍTULO II — OFICINA FISCAL INDEPENDIENTE</w:t>
      </w:r>
    </w:p>
    <w:p>
      <w:pPr>
        <w:pStyle w:val="Heading2"/>
      </w:pPr>
      <w:r>
        <w:t>Artículo 11 — Naturaleza</w:t>
      </w:r>
    </w:p>
    <w:p>
      <w:r>
        <w:t>La OFI es órgano técnico primario independiente para medición, certificación y publicidad.</w:t>
      </w:r>
    </w:p>
    <w:p>
      <w:pPr>
        <w:pStyle w:val="Heading2"/>
      </w:pPr>
      <w:r>
        <w:t>Artículo 12 — Conducción</w:t>
      </w:r>
    </w:p>
    <w:p>
      <w:r>
        <w:t>Será colegiada, con número impar, mandatos escalonados y no renovables salvo previsión excepcional estricta.</w:t>
      </w:r>
    </w:p>
    <w:p>
      <w:pPr>
        <w:pStyle w:val="Heading2"/>
      </w:pPr>
      <w:r>
        <w:t>Artículo 13 — Designación</w:t>
      </w:r>
    </w:p>
    <w:p>
      <w:r>
        <w:t>La designación combinará evaluación de idoneidad, publicidad, audiencia y aprobación institucional reforzada.</w:t>
      </w:r>
    </w:p>
    <w:p>
      <w:pPr>
        <w:pStyle w:val="Heading2"/>
      </w:pPr>
      <w:r>
        <w:t>Artículo 14 — Remoción</w:t>
      </w:r>
    </w:p>
    <w:p>
      <w:r>
        <w:t>Sólo por causa objetiva, debido proceso y resolución motivada.</w:t>
      </w:r>
    </w:p>
    <w:p>
      <w:pPr>
        <w:pStyle w:val="Heading2"/>
      </w:pPr>
      <w:r>
        <w:t>Artículo 15 — Personal</w:t>
      </w:r>
    </w:p>
    <w:p>
      <w:r>
        <w:t>La OFI seleccionará personal técnico por mérito y reglas de incompatibilidad.</w:t>
      </w:r>
    </w:p>
    <w:p>
      <w:pPr>
        <w:pStyle w:val="Heading2"/>
      </w:pPr>
      <w:r>
        <w:t>Artículo 16 — Presupuesto</w:t>
      </w:r>
    </w:p>
    <w:p>
      <w:r>
        <w:t>Tendrá autonomía y suficiencia; reducciones materiales deberán justificarse públicamente.</w:t>
      </w:r>
    </w:p>
    <w:p>
      <w:pPr>
        <w:pStyle w:val="Heading2"/>
      </w:pPr>
      <w:r>
        <w:t>Artículo 17 — Datos</w:t>
      </w:r>
    </w:p>
    <w:p>
      <w:r>
        <w:t>Acceso directo a fuentes primarias, contratos, sistemas y logs.</w:t>
      </w:r>
    </w:p>
    <w:p>
      <w:pPr>
        <w:pStyle w:val="Heading2"/>
      </w:pPr>
      <w:r>
        <w:t>Artículo 18 — Publicación</w:t>
      </w:r>
    </w:p>
    <w:p>
      <w:r>
        <w:t>Publicará sin autorización previa y conforme a calendario.</w:t>
      </w:r>
    </w:p>
    <w:p>
      <w:pPr>
        <w:pStyle w:val="Heading2"/>
      </w:pPr>
      <w:r>
        <w:t>Artículo 19 — Recaracterización</w:t>
      </w:r>
    </w:p>
    <w:p>
      <w:r>
        <w:t>Podrá recaracterizar fiscalmente operaciones aplicando criterios preexistentes y motivados.</w:t>
      </w:r>
    </w:p>
    <w:p>
      <w:pPr>
        <w:pStyle w:val="Heading2"/>
      </w:pPr>
      <w:r>
        <w:t>Artículo 20 — Límites</w:t>
      </w:r>
    </w:p>
    <w:p>
      <w:r>
        <w:t>No fijará impuestos, recortes sectoriales, políticas ni sanciones penales.</w:t>
      </w:r>
    </w:p>
    <w:p>
      <w:pPr>
        <w:pStyle w:val="Heading2"/>
      </w:pPr>
      <w:r>
        <w:t>Artículo 21 — Auditoría de la OFI</w:t>
      </w:r>
    </w:p>
    <w:p>
      <w:r>
        <w:t>Estará sujeta a auditoría externa financiera, operativa, tecnológica y de procesos.</w:t>
      </w:r>
    </w:p>
    <w:p>
      <w:pPr>
        <w:pStyle w:val="Heading2"/>
      </w:pPr>
      <w:r>
        <w:t>Artículo 22 — Disidencias</w:t>
      </w:r>
    </w:p>
    <w:p>
      <w:r>
        <w:t>Podrán publicarse votos disidentes sin multiplicar certificaciones oficiales.</w:t>
      </w:r>
    </w:p>
    <w:p>
      <w:pPr>
        <w:pStyle w:val="Heading1"/>
      </w:pPr>
      <w:r>
        <w:t>TÍTULO III — CERTIFICACIÓN, CALENDARIO Y PUBLICIDAD</w:t>
      </w:r>
    </w:p>
    <w:p>
      <w:pPr>
        <w:pStyle w:val="Heading2"/>
      </w:pPr>
      <w:r>
        <w:t>Artículo 23 — Calendario</w:t>
      </w:r>
    </w:p>
    <w:p>
      <w:r>
        <w:t>La OFI publicará un calendario anual predeterminado de certificaciones.</w:t>
      </w:r>
    </w:p>
    <w:p>
      <w:pPr>
        <w:pStyle w:val="Heading2"/>
      </w:pPr>
      <w:r>
        <w:t>Artículo 24 — Estados</w:t>
      </w:r>
    </w:p>
    <w:p>
      <w:r>
        <w:t>Las certificaciones podrán ser preliminares, revisadas y definitivas.</w:t>
      </w:r>
    </w:p>
    <w:p>
      <w:pPr>
        <w:pStyle w:val="Heading2"/>
      </w:pPr>
      <w:r>
        <w:t>Artículo 25 — Contenido mínimo</w:t>
      </w:r>
    </w:p>
    <w:p>
      <w:r>
        <w:t>Toda certificación identificará DataVersion, MethodVersion, CodeVersion, Cutoff, PerimeterVersion y Status.</w:t>
      </w:r>
    </w:p>
    <w:p>
      <w:pPr>
        <w:pStyle w:val="Heading2"/>
      </w:pPr>
      <w:r>
        <w:t>Artículo 26 — Reproducibilidad</w:t>
      </w:r>
    </w:p>
    <w:p>
      <w:r>
        <w:t>Se conservará snapshot de datos y paquete de cálculo reproducible.</w:t>
      </w:r>
    </w:p>
    <w:p>
      <w:pPr>
        <w:pStyle w:val="Heading2"/>
      </w:pPr>
      <w:r>
        <w:t>Artículo 27 — Correcciones</w:t>
      </w:r>
    </w:p>
    <w:p>
      <w:r>
        <w:t>Toda corrección creará nueva versión sin borrar la anterior.</w:t>
      </w:r>
    </w:p>
    <w:p>
      <w:pPr>
        <w:pStyle w:val="Heading2"/>
      </w:pPr>
      <w:r>
        <w:t>Artículo 28 — Restatement</w:t>
      </w:r>
    </w:p>
    <w:p>
      <w:r>
        <w:t>Se diferenciará versión as-reported y serie reexpresada.</w:t>
      </w:r>
    </w:p>
    <w:p>
      <w:pPr>
        <w:pStyle w:val="Heading2"/>
      </w:pPr>
      <w:r>
        <w:t>Artículo 29 — Publicación</w:t>
      </w:r>
    </w:p>
    <w:p>
      <w:r>
        <w:t>Existirá archivo persistente, descargable y con autenticidad verificable.</w:t>
      </w:r>
    </w:p>
    <w:p>
      <w:pPr>
        <w:pStyle w:val="Heading2"/>
      </w:pPr>
      <w:r>
        <w:t>Artículo 30 — Respuesta</w:t>
      </w:r>
    </w:p>
    <w:p>
      <w:r>
        <w:t>Los organismos controlados podrán responder, pero no vetar publicación.</w:t>
      </w:r>
    </w:p>
    <w:p>
      <w:pPr>
        <w:pStyle w:val="Heading2"/>
      </w:pPr>
      <w:r>
        <w:t>Artículo 31 — Discrepancias</w:t>
      </w:r>
    </w:p>
    <w:p>
      <w:r>
        <w:t>Un procedimiento independiente resolverá divergencias técnicas sin crear capacidad fiscal durante la controversia.</w:t>
      </w:r>
    </w:p>
    <w:p>
      <w:pPr>
        <w:pStyle w:val="Heading1"/>
      </w:pPr>
      <w:r>
        <w:t>TÍTULO IV — PRESUPUESTO, GASTO Y REEQUILIBRIO</w:t>
      </w:r>
    </w:p>
    <w:p>
      <w:pPr>
        <w:pStyle w:val="Heading2"/>
      </w:pPr>
      <w:r>
        <w:t>Artículo 32 — Presupuesto</w:t>
      </w:r>
    </w:p>
    <w:p>
      <w:r>
        <w:t>El presupuesto deberá demostrar compatibilidad ex ante con G_t^max y demás reglas.</w:t>
      </w:r>
    </w:p>
    <w:p>
      <w:pPr>
        <w:pStyle w:val="Heading2"/>
      </w:pPr>
      <w:r>
        <w:t>Artículo 33 — Devengamiento</w:t>
      </w:r>
    </w:p>
    <w:p>
      <w:r>
        <w:t>El gasto se atribuirá al hecho económico, no a la fecha de pago.</w:t>
      </w:r>
    </w:p>
    <w:p>
      <w:r>
        <w:t>Protocolo de aplicación. La fecha de imputación será la de recepción económica verificable del bien, servicio, avance de obra o derecho adquirido. La fecha de factura, orden de pago o cancelación financiera será evidencia auxiliar y no podrá desplazar el período económico.</w:t>
      </w:r>
    </w:p>
    <w:p>
      <w:r>
        <w:t>Las obligaciones recibidas antes del cierre deberán registrarse aunque la documentación administrativa se complete posteriormente. La OFI conciliará devengado presupuestario, contabilidad patrimonial, deuda comercial y pagos posteriores para detectar diferimientos.</w:t>
      </w:r>
    </w:p>
    <w:p>
      <w:pPr>
        <w:pStyle w:val="Heading2"/>
      </w:pPr>
      <w:r>
        <w:t>Artículo 34 — Inversión real</w:t>
      </w:r>
    </w:p>
    <w:p>
      <w:r>
        <w:t>La inversión real integra gasto primario computable.</w:t>
      </w:r>
    </w:p>
    <w:p>
      <w:pPr>
        <w:pStyle w:val="Heading2"/>
      </w:pPr>
      <w:r>
        <w:t>Artículo 35 — Operaciones financieras</w:t>
      </w:r>
    </w:p>
    <w:p>
      <w:r>
        <w:t>Las operaciones financieras puras se identificarán separadamente.</w:t>
      </w:r>
    </w:p>
    <w:p>
      <w:pPr>
        <w:pStyle w:val="Heading2"/>
      </w:pPr>
      <w:r>
        <w:t>Artículo 36 — Obras</w:t>
      </w:r>
    </w:p>
    <w:p>
      <w:r>
        <w:t>Se reconocerán por avance físico y económico verificable.</w:t>
      </w:r>
    </w:p>
    <w:p>
      <w:pPr>
        <w:pStyle w:val="Heading2"/>
      </w:pPr>
      <w:r>
        <w:t>Artículo 37 — Anticipos</w:t>
      </w:r>
    </w:p>
    <w:p>
      <w:r>
        <w:t>Los anticipos a proveedores se tratarán como activo hasta la prestación correspondiente.</w:t>
      </w:r>
    </w:p>
    <w:p>
      <w:pPr>
        <w:pStyle w:val="Heading2"/>
      </w:pPr>
      <w:r>
        <w:t>Artículo 38 — APP y leasing</w:t>
      </w:r>
    </w:p>
    <w:p>
      <w:r>
        <w:t>Se descompondrán en gasto, principal, servicio y costo financiero.</w:t>
      </w:r>
    </w:p>
    <w:p>
      <w:pPr>
        <w:pStyle w:val="Heading2"/>
      </w:pPr>
      <w:r>
        <w:t>Artículo 39 — Capitalizaciones</w:t>
      </w:r>
    </w:p>
    <w:p>
      <w:r>
        <w:t>Se aplicará test de valor económico recibido.</w:t>
      </w:r>
    </w:p>
    <w:p>
      <w:pPr>
        <w:pStyle w:val="Heading2"/>
      </w:pPr>
      <w:r>
        <w:t>Artículo 40 — Préstamos públicos</w:t>
      </w:r>
    </w:p>
    <w:p>
      <w:r>
        <w:t>Se aplicará test de recuperabilidad.</w:t>
      </w:r>
    </w:p>
    <w:p>
      <w:pPr>
        <w:pStyle w:val="Heading2"/>
      </w:pPr>
      <w:r>
        <w:t>Artículo 41 — Compensaciones</w:t>
      </w:r>
    </w:p>
    <w:p>
      <w:r>
        <w:t>Las compensaciones tributarias o contractuales mantendrán trazabilidad bruta.</w:t>
      </w:r>
    </w:p>
    <w:p>
      <w:pPr>
        <w:pStyle w:val="Heading2"/>
      </w:pPr>
      <w:r>
        <w:t>Artículo 42 — Base normativa</w:t>
      </w:r>
    </w:p>
    <w:p>
      <w:r>
        <w:t>G_t^base será G_t^max ordinario válido más ajustes estructurales de base autorizados.</w:t>
      </w:r>
    </w:p>
    <w:p>
      <w:r>
        <w:t>La base se conciliará mediante un puente anual que identifique: máximo ordinario previo; ajustes permanentes por competencias; ajustes permanentes por perímetro; correcciones de errores; y base resultante. Cada ajuste deberá ser simétrico respecto de recursos, gasto y pasivos relacionados.</w:t>
      </w:r>
    </w:p>
    <w:p>
      <w:r>
        <w:t>No integrarán la base: gasto de emergencia, excesos ilegales, gastos financiados por ingresos transitorios, aceleraciones temporales de inversión ni partidas creadas para consumir margen antes del cierre.</w:t>
      </w:r>
    </w:p>
    <w:p>
      <w:pPr>
        <w:pStyle w:val="Heading2"/>
      </w:pPr>
      <w:r>
        <w:t>Artículo 43 — No capitalización</w:t>
      </w:r>
    </w:p>
    <w:p>
      <w:r>
        <w:t>Exceso ilegal y gasto de emergencia no aumentan G_t^base.</w:t>
      </w:r>
    </w:p>
    <w:p>
      <w:pPr>
        <w:pStyle w:val="Heading2"/>
      </w:pPr>
      <w:r>
        <w:t>Artículo 44 — Reaproximación</w:t>
      </w:r>
    </w:p>
    <w:p>
      <w:r>
        <w:t>La subejecución no reduce la base; la reaproximación puede limitar la velocidad de ejecución.</w:t>
      </w:r>
    </w:p>
    <w:p>
      <w:pPr>
        <w:pStyle w:val="Heading2"/>
      </w:pPr>
      <w:r>
        <w:t>Artículo 45 — Brecha estructural</w:t>
      </w:r>
    </w:p>
    <w:p>
      <w:r>
        <w:t>B_t^EST=max(0,G_t^ef-R_t*) medirá la brecha efectiva observada. B_t^REC=max(0,G_t^base-R_t*) medirá la brecha de recuperación respecto de la base ordinaria autorizada. Ambas se publicarán separadamente del resultado financiero efectivo.</w:t>
      </w:r>
    </w:p>
    <w:p>
      <w:r>
        <w:t>Mientras B_t^REC &gt; 0 o B_t^EST &gt; 0 se activará o mantendrá automáticamente el Régimen de Recuperación. El presupuesto del período siguiente no podrá prever crecimiento nominal ordinario de G_t^base. El aumento de R_t* cerrará la brecha sin habilitar nuevo crecimiento ordinario del límite.</w:t>
      </w:r>
    </w:p>
    <w:p>
      <w:r>
        <w:t>La certificación mostrará, como mínimo, R_t*, G_t^ef, G_t^base, B_t^EST y B_t^REC iniciales y finales, variación de ingresos, variación de gasto y efecto de cambios de perímetro. No se admitirán ingresos transitorios para declarar cerrada ninguna brecha.</w:t>
      </w:r>
    </w:p>
    <w:p>
      <w:pPr>
        <w:pStyle w:val="Heading2"/>
      </w:pPr>
      <w:r>
        <w:t>Artículo 46 — Reequilibrio</w:t>
      </w:r>
    </w:p>
    <w:p>
      <w:r>
        <w:t>Una brecha material persistente exigirá trayectoria finita de reequilibrio sin crear nuevo límite de deuda.</w:t>
      </w:r>
    </w:p>
    <w:p>
      <w:r>
        <w:t>El plan de reequilibrio será complementario y no sustitutivo del congelamiento de la base. Podrá contener reducción voluntaria de gasto, mejora de ingresos estructurales y reformas permanentes, pero no postergar el cumplimiento de los límites de deuda, costo financiero o emergencia.</w:t>
      </w:r>
    </w:p>
    <w:p>
      <w:r>
        <w:t>La fase terminará sólo con certificación definitiva simultánea de B_t^REC=0 y B_t^EST=0. El período siguiente reingresará a la regla ordinaria sin banco de crecimiento acumulado.</w:t>
      </w:r>
    </w:p>
    <w:p>
      <w:pPr>
        <w:pStyle w:val="Heading1"/>
      </w:pPr>
      <w:r>
        <w:t>TÍTULO V — DEUDA, REFINANCIACIÓN Y COSTO FINANCIERO</w:t>
      </w:r>
    </w:p>
    <w:p>
      <w:pPr>
        <w:pStyle w:val="Heading2"/>
      </w:pPr>
      <w:r>
        <w:t>Artículo 47 — Registro de deuda</w:t>
      </w:r>
    </w:p>
    <w:p>
      <w:r>
        <w:t>Cada obligación material tendrá ID_DEBT y genealogía completa.</w:t>
      </w:r>
    </w:p>
    <w:p>
      <w:pPr>
        <w:pStyle w:val="Heading2"/>
      </w:pPr>
      <w:r>
        <w:t>Artículo 48 — Valuación</w:t>
      </w:r>
    </w:p>
    <w:p>
      <w:r>
        <w:t>La deuda se medirá por obligación contractual económica, no por precio de mercado oportunista.</w:t>
      </w:r>
    </w:p>
    <w:p>
      <w:pPr>
        <w:pStyle w:val="Heading2"/>
      </w:pPr>
      <w:r>
        <w:t>Artículo 49 — Refinanciación</w:t>
      </w:r>
    </w:p>
    <w:p>
      <w:r>
        <w:t>Sólo la porción efectivamente aplicada a deuda preexistente será REF_t.</w:t>
      </w:r>
    </w:p>
    <w:p>
      <w:pPr>
        <w:pStyle w:val="Heading2"/>
      </w:pPr>
      <w:r>
        <w:t>Artículo 50 — New money</w:t>
      </w:r>
    </w:p>
    <w:p>
      <w:r>
        <w:t>Toda porción adicional, liberada o desviada será NM_t.</w:t>
      </w:r>
    </w:p>
    <w:p>
      <w:pPr>
        <w:pStyle w:val="Heading2"/>
      </w:pPr>
      <w:r>
        <w:t>Artículo 51 — Prefinanciación</w:t>
      </w:r>
    </w:p>
    <w:p>
      <w:r>
        <w:t>Requerirá deuda identificada, ventana limitada, monto razonable, segregación y cancelación posterior.</w:t>
      </w:r>
    </w:p>
    <w:p>
      <w:r>
        <w:t>La ventana ordinaria de coexistencia, su justificación y el destino de fondos deberán publicarse antes de la operación. Los fondos quedarán identificados en cuentas o registros segregados y no podrán financiar gasto ordinario. La cancelación de la deuda sustituida deberá verificarse documentalmente.</w:t>
      </w:r>
    </w:p>
    <w:p>
      <w:r>
        <w:t>Si vencida la ventana no se produjo la cancelación prevista, la porción coexistente será tratada como new money desde el momento en que perdió su carácter transitorio, sin perjuicio de responsabilidades.</w:t>
      </w:r>
    </w:p>
    <w:p>
      <w:pPr>
        <w:pStyle w:val="Heading2"/>
      </w:pPr>
      <w:r>
        <w:t>Artículo 52 — Deuda comercial</w:t>
      </w:r>
    </w:p>
    <w:p>
      <w:r>
        <w:t>Atrasos anormales, refinanciaciones o planes con interés podrán convertirse en deuda financiera computable.</w:t>
      </w:r>
    </w:p>
    <w:p>
      <w:pPr>
        <w:pStyle w:val="Heading2"/>
      </w:pPr>
      <w:r>
        <w:t>Artículo 53 — Securitización</w:t>
      </w:r>
    </w:p>
    <w:p>
      <w:r>
        <w:t>La cesión de ingresos futuros con sustancia crediticia será deuda.</w:t>
      </w:r>
    </w:p>
    <w:p>
      <w:pPr>
        <w:pStyle w:val="Heading2"/>
      </w:pPr>
      <w:r>
        <w:t>Artículo 54 — Repos</w:t>
      </w:r>
    </w:p>
    <w:p>
      <w:r>
        <w:t>Las ventas con recompra se analizarán por transferencia real de riesgo.</w:t>
      </w:r>
    </w:p>
    <w:p>
      <w:pPr>
        <w:pStyle w:val="Heading2"/>
      </w:pPr>
      <w:r>
        <w:t>Artículo 55 — Garantías</w:t>
      </w:r>
    </w:p>
    <w:p>
      <w:r>
        <w:t>La transición de contingencia a deuda eliminará simultáneamente el doble cómputo.</w:t>
      </w:r>
    </w:p>
    <w:p>
      <w:pPr>
        <w:pStyle w:val="Heading2"/>
      </w:pPr>
      <w:r>
        <w:t>Artículo 56 — Costo financiero</w:t>
      </w:r>
    </w:p>
    <w:p>
      <w:r>
        <w:t>I_t incluirá todo costo económicamente equivalente al precio del financiamiento.</w:t>
      </w:r>
    </w:p>
    <w:p>
      <w:r>
        <w:t>La medición incluirá intereses nominales y efectivos, descuentos de colocación, primas, comisiones obligatorias, costos de garantías, componentes financieros de APP y leasing, indexaciones contractuales de naturaleza financiera y pagos equivalentes.</w:t>
      </w:r>
    </w:p>
    <w:p>
      <w:r>
        <w:t>La OFI publicará conciliación entre costo contractual, costo contable y costo fiscal computable, indicando exclusiones y coberturas neteadas. Ningún cambio de denominación contractual alterará la sustancia del costo.</w:t>
      </w:r>
    </w:p>
    <w:p>
      <w:pPr>
        <w:pStyle w:val="Heading2"/>
      </w:pPr>
      <w:r>
        <w:t>Artículo 57 — Coberturas</w:t>
      </w:r>
    </w:p>
    <w:p>
      <w:r>
        <w:t>Sólo coberturas válidamente vinculadas podrán netear costo; el bruto se publicará.</w:t>
      </w:r>
    </w:p>
    <w:p>
      <w:pPr>
        <w:pStyle w:val="Heading2"/>
      </w:pPr>
      <w:r>
        <w:t>Artículo 58 — Control ex ante</w:t>
      </w:r>
    </w:p>
    <w:p>
      <w:r>
        <w:t>Toda deuda material tendrá stress de costo y compatibilidad con D_t^max e I_t^max.</w:t>
      </w:r>
    </w:p>
    <w:p>
      <w:pPr>
        <w:pStyle w:val="Heading1"/>
      </w:pPr>
      <w:r>
        <w:t>TÍTULO VI — FONDO CONSTITUCIONAL DE ESTABILIZACIÓN</w:t>
      </w:r>
    </w:p>
    <w:p>
      <w:pPr>
        <w:pStyle w:val="Heading2"/>
      </w:pPr>
      <w:r>
        <w:t>Artículo 59 — Valor computable</w:t>
      </w:r>
    </w:p>
    <w:p>
      <w:r>
        <w:t>F_t=min(F_t^liq,CG_t).</w:t>
      </w:r>
    </w:p>
    <w:p>
      <w:r>
        <w:t>El Fondo tendrá inventario instrumento por instrumento, valor de mercado o método prudencial verificable, haircut, disponibilidad, gravámenes, moneda, contraparte y plazo estimado de realización. El valor computable será el menor entre liquidez prudencial y capital genuino.</w:t>
      </w:r>
    </w:p>
    <w:p>
      <w:r>
        <w:t>Las pruebas de stress deberán contemplar simultáneamente caída de precio, ampliación de spreads, depreciación, restricción de mercado y correlación con una crisis fiscal doméstica.</w:t>
      </w:r>
    </w:p>
    <w:p>
      <w:pPr>
        <w:pStyle w:val="Heading2"/>
      </w:pPr>
      <w:r>
        <w:t>Artículo 60 — Liquidez prudencial</w:t>
      </w:r>
    </w:p>
    <w:p>
      <w:r>
        <w:t>F_t^liq aplicará haircuts, restricciones, concentración y liquidez bajo stress.</w:t>
      </w:r>
    </w:p>
    <w:p>
      <w:pPr>
        <w:pStyle w:val="Heading2"/>
      </w:pPr>
      <w:r>
        <w:t>Artículo 61 — Capital genuino</w:t>
      </w:r>
    </w:p>
    <w:p>
      <w:r>
        <w:t>CG_t excluirá deuda, circularidades y mera transformación patrimonial sin ahorro neto.</w:t>
      </w:r>
    </w:p>
    <w:p>
      <w:pPr>
        <w:pStyle w:val="Heading2"/>
      </w:pPr>
      <w:r>
        <w:t>Artículo 62 — Activos propios</w:t>
      </w:r>
    </w:p>
    <w:p>
      <w:r>
        <w:t>Títulos y créditos intraperímetro se neutralizarán o excluirán.</w:t>
      </w:r>
    </w:p>
    <w:p>
      <w:pPr>
        <w:pStyle w:val="Heading2"/>
      </w:pPr>
      <w:r>
        <w:t>Artículo 63 — Activos gravados</w:t>
      </w:r>
    </w:p>
    <w:p>
      <w:r>
        <w:t>Se reducirá la porción indisponible.</w:t>
      </w:r>
    </w:p>
    <w:p>
      <w:pPr>
        <w:pStyle w:val="Heading2"/>
      </w:pPr>
      <w:r>
        <w:t>Artículo 64 — Diversificación</w:t>
      </w:r>
    </w:p>
    <w:p>
      <w:r>
        <w:t>Se limitará concentración y correlación con shocks fiscales domésticos.</w:t>
      </w:r>
    </w:p>
    <w:p>
      <w:pPr>
        <w:pStyle w:val="Heading2"/>
      </w:pPr>
      <w:r>
        <w:t>Artículo 65 — Uso</w:t>
      </w:r>
    </w:p>
    <w:p>
      <w:r>
        <w:t>Todo uso reducirá el saldo computable y quedará trazado.</w:t>
      </w:r>
    </w:p>
    <w:p>
      <w:pPr>
        <w:pStyle w:val="Heading2"/>
      </w:pPr>
      <w:r>
        <w:t>Artículo 66 — Reposición</w:t>
      </w:r>
    </w:p>
    <w:p>
      <w:r>
        <w:t>Sólo aumentos reales de F_t computarán como reposición.</w:t>
      </w:r>
    </w:p>
    <w:p>
      <w:pPr>
        <w:pStyle w:val="Heading2"/>
      </w:pPr>
      <w:r>
        <w:t>Artículo 67 — Gestión</w:t>
      </w:r>
    </w:p>
    <w:p>
      <w:r>
        <w:t>El gestor del Fondo será distinto del certificador.</w:t>
      </w:r>
    </w:p>
    <w:p>
      <w:pPr>
        <w:pStyle w:val="Heading2"/>
      </w:pPr>
      <w:r>
        <w:t>Artículo 68 — Stress</w:t>
      </w:r>
    </w:p>
    <w:p>
      <w:r>
        <w:t>Se realizarán pruebas periódicas de liquidez, mercado y correlación.</w:t>
      </w:r>
    </w:p>
    <w:p>
      <w:pPr>
        <w:pStyle w:val="Heading1"/>
      </w:pPr>
      <w:r>
        <w:t>TÍTULO VII — EMERGENCIAS FISCALES</w:t>
      </w:r>
    </w:p>
    <w:p>
      <w:pPr>
        <w:pStyle w:val="Heading2"/>
      </w:pPr>
      <w:r>
        <w:t>Artículo 69 — Causalidad</w:t>
      </w:r>
    </w:p>
    <w:p>
      <w:r>
        <w:t>La emergencia requiere causa extraordinaria y no puede cubrir mala gestión ordinaria.</w:t>
      </w:r>
    </w:p>
    <w:p>
      <w:r>
        <w:t>Cada declaración identificará el hecho causal, fecha de inicio, población o función afectada, baseline verificable y cadena causal entre el hecho y cada gasto extraordinario. Una partida sin vínculo causal documentado permanecerá bajo la regla ordinaria.</w:t>
      </w:r>
    </w:p>
    <w:p>
      <w:r>
        <w:t>La mera caída de recaudación, insuficiencia presupuestaria ordinaria o decisión política preexistente no constituirá por sí misma emergencia fiscal.</w:t>
      </w:r>
    </w:p>
    <w:p>
      <w:pPr>
        <w:pStyle w:val="Heading2"/>
      </w:pPr>
      <w:r>
        <w:t>Artículo 70 — Incrementalidad</w:t>
      </w:r>
    </w:p>
    <w:p>
      <w:r>
        <w:t>CE_t incluirá sólo costo incremental frente al baseline.</w:t>
      </w:r>
    </w:p>
    <w:p>
      <w:pPr>
        <w:pStyle w:val="Heading2"/>
      </w:pPr>
      <w:r>
        <w:t>Artículo 71 — Recursos</w:t>
      </w:r>
    </w:p>
    <w:p>
      <w:r>
        <w:t>RE_t incluirá recursos extraordinarios aplicables; NFE_t será neta.</w:t>
      </w:r>
    </w:p>
    <w:p>
      <w:pPr>
        <w:pStyle w:val="Heading2"/>
      </w:pPr>
      <w:r>
        <w:t>Artículo 72 — Continuidad causal</w:t>
      </w:r>
    </w:p>
    <w:p>
      <w:r>
        <w:t>Emergencias sustancialmente iguales formarán una secuencia única.</w:t>
      </w:r>
    </w:p>
    <w:p>
      <w:pPr>
        <w:pStyle w:val="Heading2"/>
      </w:pPr>
      <w:r>
        <w:t>Artículo 73 — Pluralidad</w:t>
      </w:r>
    </w:p>
    <w:p>
      <w:r>
        <w:t>Emergencias simultáneas no multiplican límites.</w:t>
      </w:r>
    </w:p>
    <w:p>
      <w:pPr>
        <w:pStyle w:val="Heading2"/>
      </w:pPr>
      <w:r>
        <w:t>Artículo 74 — Urgencia</w:t>
      </w:r>
    </w:p>
    <w:p>
      <w:r>
        <w:t>Podrá existir activación ejecutiva brevísima sujeta a ratificación.</w:t>
      </w:r>
    </w:p>
    <w:p>
      <w:pPr>
        <w:pStyle w:val="Heading2"/>
      </w:pPr>
      <w:r>
        <w:t>Artículo 75 — Prórroga</w:t>
      </w:r>
    </w:p>
    <w:p>
      <w:r>
        <w:t>Cada prórroga exigirá nueva evidencia y sunset.</w:t>
      </w:r>
    </w:p>
    <w:p>
      <w:pPr>
        <w:pStyle w:val="Heading2"/>
      </w:pPr>
      <w:r>
        <w:t>Artículo 76 — Reconciliación</w:t>
      </w:r>
    </w:p>
    <w:p>
      <w:r>
        <w:t>Estimaciones preliminares se reconciliarán con costos y recursos efectivos.</w:t>
      </w:r>
    </w:p>
    <w:p>
      <w:r>
        <w:t>Dentro del plazo reglamentario posterior al cierre se compararán CE_t y RE_t preliminares con valores realizados. Todo exceso de financiación o gasto no causal será reclasificado y deberá incorporarse al plan de salida o corrección correspondiente.</w:t>
      </w:r>
    </w:p>
    <w:p>
      <w:r>
        <w:t>La reconciliación conservará las versiones preliminares y explicará cuantitativamente cada diferencia.</w:t>
      </w:r>
    </w:p>
    <w:p>
      <w:pPr>
        <w:pStyle w:val="Heading2"/>
      </w:pPr>
      <w:r>
        <w:t>Artículo 77 — No base</w:t>
      </w:r>
    </w:p>
    <w:p>
      <w:r>
        <w:t>Gasto y deuda extraordinarios no generan derechos ordinarios futuros.</w:t>
      </w:r>
    </w:p>
    <w:p>
      <w:pPr>
        <w:pStyle w:val="Heading2"/>
      </w:pPr>
      <w:r>
        <w:t>Artículo 78 — Salida</w:t>
      </w:r>
    </w:p>
    <w:p>
      <w:r>
        <w:t>Toda emergencia tendrá Exit_EM con normalización, deuda y reposición del Fondo.</w:t>
      </w:r>
    </w:p>
    <w:p>
      <w:pPr>
        <w:pStyle w:val="Heading2"/>
      </w:pPr>
      <w:r>
        <w:t>Artículo 79 — Catástrofe extrema</w:t>
      </w:r>
    </w:p>
    <w:p>
      <w:r>
        <w:t>La cláusula extrema exigirá amenaza existencial, el procedimiento institucional más reforzado aplicable conforme a la Constitución general, plazo breve, revisión y retorno.</w:t>
      </w:r>
    </w:p>
    <w:p>
      <w:pPr>
        <w:pStyle w:val="Heading1"/>
      </w:pPr>
      <w:r>
        <w:t>TÍTULO VIII — CONVERGENCIA, REPOSICIÓN Y CORRECCIÓN</w:t>
      </w:r>
    </w:p>
    <w:p>
      <w:pPr>
        <w:pStyle w:val="Heading2"/>
      </w:pPr>
      <w:r>
        <w:t>Artículo 80 — Brechas</w:t>
      </w:r>
    </w:p>
    <w:p>
      <w:r>
        <w:t>Cada brecha tendrá trayectoria propia.</w:t>
      </w:r>
    </w:p>
    <w:p>
      <w:pPr>
        <w:pStyle w:val="Heading2"/>
      </w:pPr>
      <w:r>
        <w:t>Artículo 81 — Plan</w:t>
      </w:r>
    </w:p>
    <w:p>
      <w:r>
        <w:t>Todo plan tendrá origen, horizonte, hitos, medidas, supuestos, stress y cierre.</w:t>
      </w:r>
    </w:p>
    <w:p>
      <w:r>
        <w:t>El plan contendrá una tabla anual o trimestral, según materialidad, con brecha inicial, meta, resultado, desviación, causa, medida correctiva y edad de la trayectoria. Los supuestos macroeconómicos se identificarán separadamente de las obligaciones normativas.</w:t>
      </w:r>
    </w:p>
    <w:p>
      <w:r>
        <w:t>Las revisiones conservarán la brecha original y Age_CONV. Una nueva versión no sustituirá la historia de cumplimiento.</w:t>
      </w:r>
    </w:p>
    <w:p>
      <w:pPr>
        <w:pStyle w:val="Heading2"/>
      </w:pPr>
      <w:r>
        <w:t>Artículo 82 — Horizonte</w:t>
      </w:r>
    </w:p>
    <w:p>
      <w:r>
        <w:t>Será finito y razonable; extensiones excepcionales deberán justificarse.</w:t>
      </w:r>
    </w:p>
    <w:p>
      <w:pPr>
        <w:pStyle w:val="Heading2"/>
      </w:pPr>
      <w:r>
        <w:t>Artículo 83 — No backloading</w:t>
      </w:r>
    </w:p>
    <w:p>
      <w:r>
        <w:t>No se concentrará irrazonablemente todo el ajuste al final.</w:t>
      </w:r>
    </w:p>
    <w:p>
      <w:pPr>
        <w:pStyle w:val="Heading2"/>
      </w:pPr>
      <w:r>
        <w:t>Artículo 84 — No reset</w:t>
      </w:r>
    </w:p>
    <w:p>
      <w:r>
        <w:t>Cambio de gobierno, metodología o plan no reinicia automáticamente el reloj.</w:t>
      </w:r>
    </w:p>
    <w:p>
      <w:pPr>
        <w:pStyle w:val="Heading2"/>
      </w:pPr>
      <w:r>
        <w:t>Artículo 85 — No banco</w:t>
      </w:r>
    </w:p>
    <w:p>
      <w:r>
        <w:t>Sobrecumplimiento anticipado no crea derecho a retroceder.</w:t>
      </w:r>
    </w:p>
    <w:p>
      <w:pPr>
        <w:pStyle w:val="Heading2"/>
      </w:pPr>
      <w:r>
        <w:t>Artículo 86 — Reprogramación</w:t>
      </w:r>
    </w:p>
    <w:p>
      <w:r>
        <w:t>Sólo por causa objetiva, con puente entre versiones.</w:t>
      </w:r>
    </w:p>
    <w:p>
      <w:pPr>
        <w:pStyle w:val="Heading2"/>
      </w:pPr>
      <w:r>
        <w:t>Artículo 87 — Multibrecha</w:t>
      </w:r>
    </w:p>
    <w:p>
      <w:r>
        <w:t>Una mejora no compensará otra brecha salvo regla expresa.</w:t>
      </w:r>
    </w:p>
    <w:p>
      <w:pPr>
        <w:pStyle w:val="Heading2"/>
      </w:pPr>
      <w:r>
        <w:t>Artículo 88 — Sustitución de riesgo</w:t>
      </w:r>
    </w:p>
    <w:p>
      <w:r>
        <w:t>No habrá convergencia aparente trasladando deuda a garantías o entidades.</w:t>
      </w:r>
    </w:p>
    <w:p>
      <w:pPr>
        <w:pStyle w:val="Heading2"/>
      </w:pPr>
      <w:r>
        <w:t>Artículo 89 — Cierre</w:t>
      </w:r>
    </w:p>
    <w:p>
      <w:r>
        <w:t>La trayectoria cierra con brecha cero certificada.</w:t>
      </w:r>
    </w:p>
    <w:p>
      <w:pPr>
        <w:pStyle w:val="Heading1"/>
      </w:pPr>
      <w:r>
        <w:t>TÍTULO IX — DATOS, METODOLOGÍA, SISTEMAS Y AUDITORÍA</w:t>
      </w:r>
    </w:p>
    <w:p>
      <w:pPr>
        <w:pStyle w:val="Heading2"/>
      </w:pPr>
      <w:r>
        <w:t>Artículo 90 — Catálogo</w:t>
      </w:r>
    </w:p>
    <w:p>
      <w:r>
        <w:t>Existirá catálogo maestro de datos, fuentes y metadatos.</w:t>
      </w:r>
    </w:p>
    <w:p>
      <w:pPr>
        <w:pStyle w:val="Heading2"/>
      </w:pPr>
      <w:r>
        <w:t>Artículo 91 — Identificadores</w:t>
      </w:r>
    </w:p>
    <w:p>
      <w:r>
        <w:t>ID_ENT, ID_DEBT, ID_REF, ID_EM, ID_TX e ID_CERT serán únicos.</w:t>
      </w:r>
    </w:p>
    <w:p>
      <w:pPr>
        <w:pStyle w:val="Heading2"/>
      </w:pPr>
      <w:r>
        <w:t>Artículo 92 — Logs</w:t>
      </w:r>
    </w:p>
    <w:p>
      <w:r>
        <w:t>Los cambios serán trazables y los logs no podrán ser borrados por quienes modifican datos.</w:t>
      </w:r>
    </w:p>
    <w:p>
      <w:pPr>
        <w:pStyle w:val="Heading2"/>
      </w:pPr>
      <w:r>
        <w:t>Artículo 93 — NULL</w:t>
      </w:r>
    </w:p>
    <w:p>
      <w:r>
        <w:t>Se distinguirán 0, NULL, NA y PEND.</w:t>
      </w:r>
    </w:p>
    <w:p>
      <w:pPr>
        <w:pStyle w:val="Heading2"/>
      </w:pPr>
      <w:r>
        <w:t>Artículo 94 — Unidades</w:t>
      </w:r>
    </w:p>
    <w:p>
      <w:r>
        <w:t>Moneda, unidad, período, entidad y estado serán obligatorios.</w:t>
      </w:r>
    </w:p>
    <w:p>
      <w:pPr>
        <w:pStyle w:val="Heading2"/>
      </w:pPr>
      <w:r>
        <w:t>Artículo 95 — Redenominación</w:t>
      </w:r>
    </w:p>
    <w:p>
      <w:r>
        <w:t>Toda conversión monetaria usará tabla maestra homogénea.</w:t>
      </w:r>
    </w:p>
    <w:p>
      <w:pPr>
        <w:pStyle w:val="Heading2"/>
      </w:pPr>
      <w:r>
        <w:t>Artículo 96 — Versionado</w:t>
      </w:r>
    </w:p>
    <w:p>
      <w:r>
        <w:t>Datos, metodología y código se versionarán conjuntamente.</w:t>
      </w:r>
    </w:p>
    <w:p>
      <w:pPr>
        <w:pStyle w:val="Heading2"/>
      </w:pPr>
      <w:r>
        <w:t>Artículo 97 — Código</w:t>
      </w:r>
    </w:p>
    <w:p>
      <w:r>
        <w:t>Las reglas codificadas tendrán tests de conformidad normativa.</w:t>
      </w:r>
    </w:p>
    <w:p>
      <w:r>
        <w:t>Cada fórmula constitucional tendrá al menos pruebas unitarias de valores normales, cero, datos faltantes, extremos, cambios de moneda y límites exactos. El paquete de cálculo deberá permitir reproducir una certificación a partir del snapshot publicado.</w:t>
      </w:r>
    </w:p>
    <w:p>
      <w:r>
        <w:t>Un cambio de código sin cambio normativo deberá demostrar equivalencia de resultados; si altera resultados materiales, se tratará como cambio metodológico y requerirá explicación, versión y auditoría.</w:t>
      </w:r>
    </w:p>
    <w:p>
      <w:pPr>
        <w:pStyle w:val="Heading2"/>
      </w:pPr>
      <w:r>
        <w:t>Artículo 98 — Cierre</w:t>
      </w:r>
    </w:p>
    <w:p>
      <w:r>
        <w:t>Se identificarán ajustes post-cierre y causales de reapertura.</w:t>
      </w:r>
    </w:p>
    <w:p>
      <w:pPr>
        <w:pStyle w:val="Heading2"/>
      </w:pPr>
      <w:r>
        <w:t>Artículo 99 — Resiliencia</w:t>
      </w:r>
    </w:p>
    <w:p>
      <w:r>
        <w:t>Backups, restauración, retención documental y continuidad serán obligatorios.</w:t>
      </w:r>
    </w:p>
    <w:p>
      <w:pPr>
        <w:pStyle w:val="Heading2"/>
      </w:pPr>
      <w:r>
        <w:t>Artículo 100 — IA</w:t>
      </w:r>
    </w:p>
    <w:p>
      <w:r>
        <w:t>La IA podrá asistir, pero ninguna decisión material opaca o autónoma será vinculante.</w:t>
      </w:r>
    </w:p>
    <w:p>
      <w:pPr>
        <w:pStyle w:val="Heading2"/>
      </w:pPr>
      <w:r>
        <w:t>Artículo 101 — Privacidad</w:t>
      </w:r>
    </w:p>
    <w:p>
      <w:r>
        <w:t>Acceso de control y publicidad se ajustarán a finalidad, minimización y seguridad.</w:t>
      </w:r>
    </w:p>
    <w:p>
      <w:pPr>
        <w:pStyle w:val="Heading1"/>
      </w:pPr>
      <w:r>
        <w:t>TÍTULO X — RESPONSABILIDADES Y CONSECUENCIAS</w:t>
      </w:r>
    </w:p>
    <w:p>
      <w:pPr>
        <w:pStyle w:val="Heading2"/>
      </w:pPr>
      <w:r>
        <w:t>Artículo 102 — Cuatro niveles</w:t>
      </w:r>
    </w:p>
    <w:p>
      <w:r>
        <w:t>Se separarán hecho, incumplimiento objetivo, responsabilidad institucional y responsabilidad personal.</w:t>
      </w:r>
    </w:p>
    <w:p>
      <w:pPr>
        <w:pStyle w:val="Heading2"/>
      </w:pPr>
      <w:r>
        <w:t>Artículo 103 — Causas exógenas</w:t>
      </w:r>
    </w:p>
    <w:p>
      <w:r>
        <w:t>Shock, emergencia, devaluación, tasas o herencia no crean culpabilidad automática.</w:t>
      </w:r>
    </w:p>
    <w:p>
      <w:pPr>
        <w:pStyle w:val="Heading2"/>
      </w:pPr>
      <w:r>
        <w:t>Artículo 104 — Error razonable</w:t>
      </w:r>
    </w:p>
    <w:p>
      <w:r>
        <w:t>El error técnico de buena fe se evaluará por diligencia y evidencia disponible.</w:t>
      </w:r>
    </w:p>
    <w:p>
      <w:pPr>
        <w:pStyle w:val="Heading2"/>
      </w:pPr>
      <w:r>
        <w:t>Artículo 105 — Negligencia grave</w:t>
      </w:r>
    </w:p>
    <w:p>
      <w:r>
        <w:t>La indiferencia frente a advertencias materiales puede generar responsabilidad.</w:t>
      </w:r>
    </w:p>
    <w:p>
      <w:pPr>
        <w:pStyle w:val="Heading2"/>
      </w:pPr>
      <w:r>
        <w:t>Artículo 106 — Fraude</w:t>
      </w:r>
    </w:p>
    <w:p>
      <w:r>
        <w:t>Falsificación, ocultamiento, destrucción de evidencia y elusión coordinada serán agravantes.</w:t>
      </w:r>
    </w:p>
    <w:p>
      <w:pPr>
        <w:pStyle w:val="Heading2"/>
      </w:pPr>
      <w:r>
        <w:t>Artículo 107 — Obstrucción</w:t>
      </w:r>
    </w:p>
    <w:p>
      <w:r>
        <w:t>La obstrucción material a OFI o auditoría será infracción grave.</w:t>
      </w:r>
    </w:p>
    <w:p>
      <w:pPr>
        <w:pStyle w:val="Heading2"/>
      </w:pPr>
      <w:r>
        <w:t>Artículo 108 — Emergencia fraudulenta</w:t>
      </w:r>
    </w:p>
    <w:p>
      <w:r>
        <w:t>Declarar o sostener una emergencia ficticia tendrá tratamiento agravado.</w:t>
      </w:r>
    </w:p>
    <w:p>
      <w:pPr>
        <w:pStyle w:val="Heading2"/>
      </w:pPr>
      <w:r>
        <w:t>Artículo 109 — Debido proceso</w:t>
      </w:r>
    </w:p>
    <w:p>
      <w:r>
        <w:t>Toda responsabilidad personal requerirá imputación individual, defensa y órgano competente.</w:t>
      </w:r>
    </w:p>
    <w:p>
      <w:pPr>
        <w:pStyle w:val="Heading2"/>
      </w:pPr>
      <w:r>
        <w:t>Artículo 110 — OFI</w:t>
      </w:r>
    </w:p>
    <w:p>
      <w:r>
        <w:t>La OFI certificará hechos y remitirá antecedentes; no sustituirá a jueces o autoridades sancionadoras.</w:t>
      </w:r>
    </w:p>
    <w:p>
      <w:pPr>
        <w:pStyle w:val="Heading2"/>
      </w:pPr>
      <w:r>
        <w:t>Artículo 111 — Herencia</w:t>
      </w:r>
    </w:p>
    <w:p>
      <w:r>
        <w:t>La nueva administración hereda la obligación institucional, no la culpa personal de la anterior.</w:t>
      </w:r>
    </w:p>
    <w:p>
      <w:pPr>
        <w:pStyle w:val="Heading1"/>
      </w:pPr>
      <w:r>
        <w:t>TÍTULO XI — TRANSICIÓN Y DISPOSICIONES FINALES</w:t>
      </w:r>
    </w:p>
    <w:p>
      <w:pPr>
        <w:pStyle w:val="Heading2"/>
      </w:pPr>
      <w:r>
        <w:t>Artículo 112 — No retroactividad</w:t>
      </w:r>
    </w:p>
    <w:p>
      <w:r>
        <w:t>La ley no convierte retroactivamente en ilícitos hechos anteriores.</w:t>
      </w:r>
    </w:p>
    <w:p>
      <w:pPr>
        <w:pStyle w:val="Heading2"/>
      </w:pPr>
      <w:r>
        <w:t>Artículo 113 — Continuidad</w:t>
      </w:r>
    </w:p>
    <w:p>
      <w:r>
        <w:t>Deuda, contratos, riesgos y brechas heredadas permanecen económicamente vigentes.</w:t>
      </w:r>
    </w:p>
    <w:p>
      <w:pPr>
        <w:pStyle w:val="Heading2"/>
      </w:pPr>
      <w:r>
        <w:t>Artículo 114 — Inventario inicial</w:t>
      </w:r>
    </w:p>
    <w:p>
      <w:r>
        <w:t>Se realizará inventario integral de apertura y reconstrucción de seis años.</w:t>
      </w:r>
    </w:p>
    <w:p>
      <w:pPr>
        <w:pStyle w:val="Heading2"/>
      </w:pPr>
      <w:r>
        <w:t>Artículo 115 — Certificación inicial</w:t>
      </w:r>
    </w:p>
    <w:p>
      <w:r>
        <w:t>Habrá CERT_0_PRE y CERT_0_DEF.</w:t>
      </w:r>
    </w:p>
    <w:p>
      <w:pPr>
        <w:pStyle w:val="Heading2"/>
      </w:pPr>
      <w:r>
        <w:t>Artículo 116 — Planes iniciales</w:t>
      </w:r>
    </w:p>
    <w:p>
      <w:r>
        <w:t>Se adoptarán planes de convergencia, reequilibrio y Fondo cuando corresponda.</w:t>
      </w:r>
    </w:p>
    <w:p>
      <w:pPr>
        <w:pStyle w:val="Heading2"/>
      </w:pPr>
      <w:r>
        <w:t>Artículo 117 — Datos incompletos</w:t>
      </w:r>
    </w:p>
    <w:p>
      <w:r>
        <w:t>Se identificarán estimaciones prudenciales y no se usarán ceros ficticios.</w:t>
      </w:r>
    </w:p>
    <w:p>
      <w:pPr>
        <w:pStyle w:val="Heading2"/>
      </w:pPr>
      <w:r>
        <w:t>Artículo 118 — Adecuación tecnológica</w:t>
      </w:r>
    </w:p>
    <w:p>
      <w:r>
        <w:t>Se establecerá plan de datos, identificadores, logs, versionado y archivo.</w:t>
      </w:r>
    </w:p>
    <w:p>
      <w:pPr>
        <w:pStyle w:val="Heading2"/>
      </w:pPr>
      <w:r>
        <w:t>Artículo 119 — Cierre de transición</w:t>
      </w:r>
    </w:p>
    <w:p>
      <w:r>
        <w:t>El régimen transitorio tendrá condición objetiva de terminación.</w:t>
      </w:r>
    </w:p>
    <w:p>
      <w:pPr>
        <w:pStyle w:val="Heading2"/>
      </w:pPr>
      <w:r>
        <w:t>Artículo 120 — Derogación funcional</w:t>
      </w:r>
    </w:p>
    <w:p>
      <w:r>
        <w:t>Las normas incompatibles serán inaplicables en la medida de su incompatibilidad.</w:t>
      </w:r>
    </w:p>
    <w:p>
      <w:pPr>
        <w:pStyle w:val="Heading2"/>
      </w:pPr>
      <w:r>
        <w:t>Artículo 121 — Vigencia</w:t>
      </w:r>
    </w:p>
    <w:p>
      <w:r>
        <w:t>La vigencia escalonada no podrá crear vacío de control.</w:t>
      </w:r>
    </w:p>
    <w:p>
      <w:pPr>
        <w:pStyle w:val="Heading1"/>
      </w:pPr>
      <w:r>
        <w:t>DISPOSICIÓN INTERPRETATIVA FINAL</w:t>
      </w:r>
    </w:p>
    <w:p>
      <w:r>
        <w:t>Ninguna disposición de esta ley podrá interpretarse de modo que modifique una reserva constitucional. Los Anexos Técnicos son instrumentales y quedan subordinados a esta ley y a la Constitución Fiscal.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Ley Orgánica Fiscal · Versión 2.1 · 121 artículos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