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INFORME FINAL DE AUDITORÍA CRUZADA V2.1</w:t>
      </w:r>
    </w:p>
    <w:p>
      <w:r>
        <w:t>Proyecto Gobernar sin déficit · Cierre posterior a la revisión integral de Constitución, Ley Orgánica y 14 Anexos Técnicos</w:t>
      </w:r>
    </w:p>
    <w:p>
      <w:pPr>
        <w:pStyle w:val="Heading1"/>
      </w:pPr>
      <w:r>
        <w:t>1. Hallazgos corregidos</w:t>
      </w:r>
    </w:p>
    <w:p>
      <w:r>
        <w:t>Se eliminó la trayectoria contrafáctica A_t y el coeficiente C_t, porque dependían de una referencia hipotética susceptible de discusión metodológica.</w:t>
      </w:r>
    </w:p>
    <w:p>
      <w:r>
        <w:t>Se unificó la base de la regla de recuperación: mientras B_t^EST&gt;0 no existe crecimiento nominal ordinario; el límite parte de G_t^base y no alterna ambiguamente con G_t^max.</w:t>
      </w:r>
    </w:p>
    <w:p>
      <w:r>
        <w:t>Se amplió la Ley Orgánica con protocolos de devengamiento, base, recuperación, deuda, costo financiero, Fondo, emergencia, convergencia, código e inventario inicial.</w:t>
      </w:r>
    </w:p>
    <w:p>
      <w:r>
        <w:t>Se ampliaron los 14 anexos para incluir variables, procedimientos, conciliaciones, controles y pruebas mínimas reproducibles.</w:t>
      </w:r>
    </w:p>
    <w:p>
      <w:pPr>
        <w:pStyle w:val="Heading1"/>
      </w:pPr>
      <w:r>
        <w:t>2. Prueba de sensibilidad de recuperación</w:t>
      </w:r>
    </w:p>
    <w:p>
      <w:r>
        <w:t>Se compararon cuatro reglas: 100/0, 90/10, 75/25 y 50/50, donde el primer porcentaje es la fracción del aumento de ingresos destinada a cerrar la brecha y el segundo la fracción habilitada para nuevo gasto durante la recuperación.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Déficit inicial</w:t>
            </w:r>
          </w:p>
        </w:tc>
        <w:tc>
          <w:tcPr>
            <w:tcW w:type="dxa" w:w="1440"/>
          </w:tcPr>
          <w:p>
            <w:r>
              <w:t>Crec. R*</w:t>
            </w:r>
          </w:p>
        </w:tc>
        <w:tc>
          <w:tcPr>
            <w:tcW w:type="dxa" w:w="1440"/>
          </w:tcPr>
          <w:p>
            <w:r>
              <w:t>100/0</w:t>
            </w:r>
          </w:p>
        </w:tc>
        <w:tc>
          <w:tcPr>
            <w:tcW w:type="dxa" w:w="1440"/>
          </w:tcPr>
          <w:p>
            <w:r>
              <w:t>90/10</w:t>
            </w:r>
          </w:p>
        </w:tc>
        <w:tc>
          <w:tcPr>
            <w:tcW w:type="dxa" w:w="1440"/>
          </w:tcPr>
          <w:p>
            <w:r>
              <w:t>75/25</w:t>
            </w:r>
          </w:p>
        </w:tc>
        <w:tc>
          <w:tcPr>
            <w:tcW w:type="dxa" w:w="1440"/>
          </w:tcPr>
          <w:p>
            <w:r>
              <w:t>50/50</w:t>
            </w:r>
          </w:p>
        </w:tc>
      </w:tr>
      <w:tr>
        <w:tc>
          <w:tcPr>
            <w:tcW w:type="dxa" w:w="1440"/>
          </w:tcPr>
          <w:p>
            <w:r>
              <w:t>10%</w:t>
            </w:r>
          </w:p>
        </w:tc>
        <w:tc>
          <w:tcPr>
            <w:tcW w:type="dxa" w:w="1440"/>
          </w:tcPr>
          <w:p>
            <w:r>
              <w:t>3%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7</w:t>
            </w:r>
          </w:p>
        </w:tc>
      </w:tr>
      <w:tr>
        <w:tc>
          <w:tcPr>
            <w:tcW w:type="dxa" w:w="1440"/>
          </w:tcPr>
          <w:p>
            <w:r>
              <w:t>10%</w:t>
            </w:r>
          </w:p>
        </w:tc>
        <w:tc>
          <w:tcPr>
            <w:tcW w:type="dxa" w:w="1440"/>
          </w:tcPr>
          <w:p>
            <w:r>
              <w:t>6%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4</w:t>
            </w:r>
          </w:p>
        </w:tc>
      </w:tr>
      <w:tr>
        <w:tc>
          <w:tcPr>
            <w:tcW w:type="dxa" w:w="1440"/>
          </w:tcPr>
          <w:p>
            <w:r>
              <w:t>20%</w:t>
            </w:r>
          </w:p>
        </w:tc>
        <w:tc>
          <w:tcPr>
            <w:tcW w:type="dxa" w:w="1440"/>
          </w:tcPr>
          <w:p>
            <w:r>
              <w:t>3%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12</w:t>
            </w:r>
          </w:p>
        </w:tc>
      </w:tr>
      <w:tr>
        <w:tc>
          <w:tcPr>
            <w:tcW w:type="dxa" w:w="1440"/>
          </w:tcPr>
          <w:p>
            <w:r>
              <w:t>20%</w:t>
            </w:r>
          </w:p>
        </w:tc>
        <w:tc>
          <w:tcPr>
            <w:tcW w:type="dxa" w:w="1440"/>
          </w:tcPr>
          <w:p>
            <w:r>
              <w:t>6%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6</w:t>
            </w:r>
          </w:p>
        </w:tc>
      </w:tr>
      <w:tr>
        <w:tc>
          <w:tcPr>
            <w:tcW w:type="dxa" w:w="1440"/>
          </w:tcPr>
          <w:p>
            <w:r>
              <w:t>30%</w:t>
            </w:r>
          </w:p>
        </w:tc>
        <w:tc>
          <w:tcPr>
            <w:tcW w:type="dxa" w:w="1440"/>
          </w:tcPr>
          <w:p>
            <w:r>
              <w:t>3%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16</w:t>
            </w:r>
          </w:p>
        </w:tc>
      </w:tr>
      <w:tr>
        <w:tc>
          <w:tcPr>
            <w:tcW w:type="dxa" w:w="1440"/>
          </w:tcPr>
          <w:p>
            <w:r>
              <w:t>30%</w:t>
            </w:r>
          </w:p>
        </w:tc>
        <w:tc>
          <w:tcPr>
            <w:tcW w:type="dxa" w:w="1440"/>
          </w:tcPr>
          <w:p>
            <w:r>
              <w:t>6%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9</w:t>
            </w:r>
          </w:p>
        </w:tc>
      </w:tr>
    </w:tbl>
    <w:p>
      <w:r>
        <w:t>Conclusión: la regla 100/0 es la más simple, rápida y resistente a manipulación. La 90/10 ofrece poca diferencia práctica y agrega un parámetro. Las variantes 75/25 y 50/50 prolongan materialmente el déficit. Por ello V2.1 adopta 100/0 como núcleo constitucional: congelamiento nominal del crecimiento ordinario hasta B_t^EST=0. Emergencias válidas conservan su régimen separado.</w:t>
      </w:r>
    </w:p>
    <w:p>
      <w:pPr>
        <w:pStyle w:val="Heading1"/>
      </w:pPr>
      <w:r>
        <w:t>3. Estado</w:t>
      </w:r>
    </w:p>
    <w:p>
      <w:r>
        <w:t>La V2.1 supera la verificación final de referencias cruzadas, numeración, renderizado y coherencia terminológica de los cuatro documentos y queda cerrada como versión definitiva del diseño general para publicación.</w:t>
      </w:r>
    </w:p>
    <w:p>
      <w:pPr>
        <w:pStyle w:val="Heading1"/>
      </w:pPr>
      <w:r>
        <w:t>4. Auditoría cruzada final</w:t>
      </w:r>
    </w:p>
    <w:p>
      <w:r>
        <w:t>Numeración: Constitución verificada con 102 artículos consecutivos, sin faltantes ni duplicados; Ley Orgánica verificada con 121 artículos consecutivos, sin faltantes ni duplicados. Las remisiones internas examinadas permanecen dentro de los rangos válidos.</w:t>
      </w:r>
    </w:p>
    <w:p>
      <w:r>
        <w:t>Coherencia de recuperación: se detectó que B_t^EST, al depender de gasto efectivo, podía llegar a cero por una subejecución circunstancial aun cuando G_t^base continuara por encima de R_t*. Eso habría permitido reingresar prematuramente a la regla ordinaria. Se corrige incorporando B_t^REC=max(0,G_t^base-R_t*). El régimen se mantiene mientras B_t^REC&gt;0 o B_t^EST&gt;0 y sólo cierra cuando ambas son cero.</w:t>
      </w:r>
    </w:p>
    <w:p>
      <w:r>
        <w:t>Coherencia de gasto: durante recuperación G_(t+1)^max no excede G_t^base. La regla congela la capacidad ordinaria autorizada; no crea banco por subejecución y no capitaliza emergencia ni excesos.</w:t>
      </w:r>
    </w:p>
    <w:p>
      <w:r>
        <w:t>Coherencia de ingresos: R_t* queda expresamente sobre base percibida, con atribución temporal antifraude para impedir que anticipos de períodos futuros, financiación o recursos reintegrables eleven artificialmente la capacidad fiscal.</w:t>
      </w:r>
    </w:p>
    <w:p>
      <w:r>
        <w:t>Jerarquía de emergencia extrema: se eliminó de la Ley Orgánica la referencia autónoma a una supermayoría no necesariamente prevista por la Constitución general. La ley remite ahora al procedimiento institucional más reforzado aplicable, en concordancia con la Constitución Fiscal.</w:t>
      </w:r>
    </w:p>
    <w:p>
      <w:r>
        <w:t>Parámetros: se verificó consistencia de P=6; TC_t; deuda ordinaria 1,50 con beta 0,60; costo financiero 0,15; Fondo 0,15/0,25; NFE_t; y límite extraordinario 2,10. No se detectaron divergencias numéricas entre los tres cuerpos normativos luego de las correcciones.</w:t>
      </w:r>
    </w:p>
    <w:p>
      <w:r>
        <w:t>Antielusión: permanecen consolidados los controles de perímetro, sustancia económica, operaciones vinculadas, deuda indirecta, APP/leasing, securitización, repos, garantías, anticipos, emergencia, no-reset, NULL y versionado reproducible.</w:t>
      </w:r>
    </w:p>
    <w:p>
      <w:r>
        <w:t>Resultado: no se identificó una contradicción estructural residual que obligue a modificar la arquitectura del proyecto. Las adaptaciones a una jurisdicción concreta —procedimiento de reforma, mayorías y encastre institucional— deberán realizarse al momento de su adopción y no alteran la propuesta general.</w:t>
      </w:r>
    </w:p>
    <w:p>
      <w:pPr>
        <w:pStyle w:val="Heading1"/>
      </w:pPr>
      <w:r>
        <w:t>5. Estado de cierre</w:t>
      </w:r>
    </w:p>
    <w:p>
      <w:r>
        <w:t>Con las correcciones precedentes, la Constitución Fiscal V2.1, la Ley Orgánica Fiscal V2.1 y los 14 Anexos Técnicos V2.1 quedan coordinados como paquete normativo definitivo del proyecto para publicación general. El término “definitivo” se refiere al diseño general del proyecto y no a su adaptación jurídica a una jurisdicción específica.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