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ANEXOS TÉCNICOS</w:t>
      </w:r>
    </w:p>
    <w:p>
      <w:r>
        <w:t>Versión 2.1 definitiva del proyecto · 14 anexos · Especificación técnica para implementación y auditoría</w:t>
      </w:r>
    </w:p>
    <w:p>
      <w:pPr>
        <w:pStyle w:val="Heading1"/>
      </w:pPr>
      <w:r>
        <w:t>ANEXO I — Diccionario Maestro de Variables</w:t>
      </w:r>
    </w:p>
    <w:p>
      <w:r>
        <w:t>R_t*: ingresos fiscales estructurales computables normalizados. Flujo nominal del período. En certificación realizada se mide sobre base percibida: ingreso efectivamente cobrado y disponible, sujeto a atribución temporal antifraude; las proyecciones se identifican separadamente por Status y nunca sustituyen lo realizado. Excluye deuda, venta de activos, anticipos reintegrables, recursos intraperímetro y extraordinarios no recurrentes.</w:t>
      </w:r>
    </w:p>
    <w:p>
      <w:r>
        <w:t>R_t^tot: ingresos fiscales totales admisibles. R_t^temp: subconjunto genuino pero transitorio. R_t^ref=(1/6)·ΣR_i* de los seis períodos homogéneos.</w:t>
      </w:r>
    </w:p>
    <w:p>
      <w:r>
        <w:t>TC_t=max[0,(R_t*/R_(t-6)*)^(1/6)-1], aplicable sólo fuera del Régimen de Recuperación.</w:t>
      </w:r>
    </w:p>
    <w:p>
      <w:r>
        <w:t>G_t^ef: gasto primario computable devengado. G_t^base: base normativa ordinaria validada. G_t^max: máximo constitucional aplicable.</w:t>
      </w:r>
    </w:p>
    <w:p>
      <w:r>
        <w:t>B_t^EST=max(0,G_t^ef-R_t*) mide la brecha efectiva observada. B_t^REC=max(0,G_t^base-R_t*) mide la brecha de recuperación. Si cualquiera es positiva, no se habilita crecimiento nominal ordinario de G_t^base; el cierre exige ambas en cero.</w:t>
      </w:r>
    </w:p>
    <w:p>
      <w:r>
        <w:t>D_t: deuda pública bruta computable. D_t^max=1,50·min[R_t*,max(R_t^ref,0,60·R_t*)]. I_t: costo financiero computable; I_t^max=0,15·R_t*.</w:t>
      </w:r>
    </w:p>
    <w:p>
      <w:r>
        <w:t>F_t=min(F_t^liq,CG_t); F_t^min=0,15·max(R_t*,R_t^ref); F_t^obj=0,25·max(R_t*,R_t^ref).</w:t>
      </w:r>
    </w:p>
    <w:p>
      <w:r>
        <w:t>CE_t: costo incremental causal de emergencia. RE_t: recursos extraordinarios aplicables. NFE_t=max(0,CE_t-RE_t).</w:t>
      </w:r>
    </w:p>
    <w:p>
      <w:r>
        <w:t>Campos constitucionalmente bloqueados: fórmula, porcentaje, período y significado económico. Campos técnicos versionables: fuente, formato, precisión, validación y método de extracción.</w:t>
      </w:r>
    </w:p>
    <w:p>
      <w:pPr>
        <w:pStyle w:val="Heading1"/>
      </w:pPr>
      <w:r>
        <w:t>ANEXO II — Perímetro Fiscal y Consolidación</w:t>
      </w:r>
    </w:p>
    <w:p>
      <w:r>
        <w:t>Aplicar cinco tests: control de decisiones relevantes; riesgo económico soportado; dependencia estructural; garantías explícitas o implícitas; y naturaleza intraperímetro de las operaciones.</w:t>
      </w:r>
    </w:p>
    <w:p>
      <w:r>
        <w:t>Cada entidad tendrá ID_ENT, fecha de alta/baja, fundamento, porcentaje de control, exposición máxima y versión de perímetro. Cambios materiales exigirán conciliación retroactiva informativa y prospectiva normativa.</w:t>
      </w:r>
    </w:p>
    <w:p>
      <w:r>
        <w:t>Las operaciones internas se eliminan en consolidación. La transferencia formal de una entidad no la excluye si el Estado conserva sustancialmente pérdidas, garantías o financiación obligatoria.</w:t>
      </w:r>
    </w:p>
    <w:p>
      <w:pPr>
        <w:pStyle w:val="Heading1"/>
      </w:pPr>
      <w:r>
        <w:t>ANEXO III — Ingresos Estructurales y Totales</w:t>
      </w:r>
    </w:p>
    <w:p>
      <w:r>
        <w:t>Clasificación: R1-E estructural recurrente; R2-T genuino transitorio; R3-X patrimonial extraordinario; R4-F financiación; R5-I intraperímetro.</w:t>
      </w:r>
    </w:p>
    <w:p>
      <w:r>
        <w:t>Sólo R1-E integra automáticamente R_t*. R2-T requiere evidencia de recurrencia permanente antes de reclasificarse. R3-X y R4-F nunca integran R_t*. R5-I se elimina.</w:t>
      </w:r>
    </w:p>
    <w:p>
      <w:r>
        <w:t>Los anticipos se atribuyen al período económico correspondiente. Cambios legales permanentes de impuestos se documentarán sin proyectar como realizados ingresos aún no percibidos; los cobros anticipados atribuibles a períodos futuros se excluyen de R_t* del período corriente.</w:t>
      </w:r>
    </w:p>
    <w:p>
      <w:pPr>
        <w:pStyle w:val="Heading1"/>
      </w:pPr>
      <w:r>
        <w:t>ANEXO IV — Gasto Primario, Devengamiento y Base</w:t>
      </w:r>
    </w:p>
    <w:p>
      <w:r>
        <w:t>Prestación o adquisición económica recibida en t implica gasto de t aunque se pague después. Anticipo sin prestación es activo hasta recepción. Obras se reconocen por avance físico-económico verificable.</w:t>
      </w:r>
    </w:p>
    <w:p>
      <w:r>
        <w:t>APP y leasing se separan en gasto, principal y costo financiero. Capitalizaciones y préstamos aplican tests de valor recibido y recuperabilidad.</w:t>
      </w:r>
    </w:p>
    <w:p>
      <w:r>
        <w:t>Puente anual de G_t^base: base previa + cambios permanentes de competencia/perímetro ± correcciones certificadas. Nunca se incorporan emergencia, exceso ilegal o gasto transitorio.</w:t>
      </w:r>
    </w:p>
    <w:p>
      <w:r>
        <w:t>Control de cierre: conciliar órdenes de compra, recepciones, facturas posteriores, deuda comercial y pagos de los primeros meses del período siguiente.</w:t>
      </w:r>
    </w:p>
    <w:p>
      <w:pPr>
        <w:pStyle w:val="Heading1"/>
      </w:pPr>
      <w:r>
        <w:t>ANEXO V — Deuda, Refinanciación y New Money</w:t>
      </w:r>
    </w:p>
    <w:p>
      <w:r>
        <w:t>Cada obligación material tendrá ID_DEBT, acreedor, moneda, principal, tasa, indexación, garantías, vencimientos y genealogía.</w:t>
      </w:r>
    </w:p>
    <w:p>
      <w:r>
        <w:t>REF_t es sólo principal preexistente efectivamente sustituido. NM_t es toda porción adicional, liberada o desviada. Prefinanciación exige ID_REF, ventana limitada, segregación y cancelación posterior.</w:t>
      </w:r>
    </w:p>
    <w:p>
      <w:r>
        <w:t>Deuda comercial anormal, securitización con sustancia crediticia, repos, garantías ejecutables y vehículos controlados se incorporan por sustancia económica. Evitar doble cómputo al pasar contingencia a deuda.</w:t>
      </w:r>
    </w:p>
    <w:p>
      <w:pPr>
        <w:pStyle w:val="Heading1"/>
      </w:pPr>
      <w:r>
        <w:t>ANEXO VI — Costo Financiero Computable</w:t>
      </w:r>
    </w:p>
    <w:p>
      <w:r>
        <w:t>I_t incluye interés efectivo, descuentos, primas, comisiones obligatorias, garantías, componentes financieros de APP/leasing e indexación financiera. La variación cambiaria del principal modifica D_t y no es automáticamente I_t.</w:t>
      </w:r>
    </w:p>
    <w:p>
      <w:r>
        <w:t>Publicar costo bruto, coberturas vinculadas válidas, costo neto y conciliación contable-fiscal. Stress mínimo: tasa, spread, tipo de cambio e indexación adversos.</w:t>
      </w:r>
    </w:p>
    <w:p>
      <w:pPr>
        <w:pStyle w:val="Heading1"/>
      </w:pPr>
      <w:r>
        <w:t>ANEXO VII — Fondo de Estabilización</w:t>
      </w:r>
    </w:p>
    <w:p>
      <w:r>
        <w:t>Inventario por instrumento: emisor, moneda, vencimiento, precio, haircut, disponibilidad, gravamen, contraparte y concentración. F_t es el menor entre liquidez prudencial y capital genuino.</w:t>
      </w:r>
    </w:p>
    <w:p>
      <w:r>
        <w:t>Activos propios o intraperímetro se neutralizan. Deuda emitida para constituir el Fondo no crea CG_t. Stress conjunto de mercado, liquidez y correlación fiscal.</w:t>
      </w:r>
    </w:p>
    <w:p>
      <w:r>
        <w:t>Cada uso tendrá causa, monto, autorización y saldo posterior. La reposición sólo computa aumentos reales de F_t.</w:t>
      </w:r>
    </w:p>
    <w:p>
      <w:pPr>
        <w:pStyle w:val="Heading1"/>
      </w:pPr>
      <w:r>
        <w:t>ANEXO VIII — Emergencias y Catástrofe Extrema</w:t>
      </w:r>
    </w:p>
    <w:p>
      <w:r>
        <w:t>Secuencia obligatoria: causa → baseline → CE_t → RE_t → NFE_t → financiación → seguimiento → reconciliación → Exit_EM.</w:t>
      </w:r>
    </w:p>
    <w:p>
      <w:r>
        <w:t>Cada gasto debe mostrar causalidad e incrementalidad. Declaraciones sucesivas con la misma causa se acumulan y no renuevan límites. Prórrogas requieren evidencia nueva y sunset.</w:t>
      </w:r>
    </w:p>
    <w:p>
      <w:r>
        <w:t>La reconciliación posterior compara estimaciones con realizados y reclasifica excesos. La catástrofe extrema usa el procedimiento constitucional reforzado aplicable, sin que este anexo cree poderes nuevos.</w:t>
      </w:r>
    </w:p>
    <w:p>
      <w:pPr>
        <w:pStyle w:val="Heading1"/>
      </w:pPr>
      <w:r>
        <w:t>ANEXO IX — Recuperación, Convergencia y Reequilibrio</w:t>
      </w:r>
    </w:p>
    <w:p>
      <w:r>
        <w:t>Recuperación por déficit: si B_t^REC&gt;0 o B_t^EST&gt;0, crecimiento nominal ordinario de G_t^base=0. B_t^REC evita que una subejecución circunstancial produzca un cierre aparente. Los aumentos de R_t* reducen la brecha sin habilitar crecimiento; las caídas de R_t* tampoco habilitan crecimiento. Cierre sólo con B_t^REC=0 y B_t^EST=0 certificados simultáneamente.</w:t>
      </w:r>
    </w:p>
    <w:p>
      <w:r>
        <w:t>Prueba de sensibilidad orientativa: con déficit inicial de 20% sobre ingresos y crecimiento anual de R_t* de 6%, congelar gasto cierra la brecha aproximadamente en 4 años; permitir 10% del aumento de ingresos al gasto también ronda 4 años; 25% tarda cerca de 5; 50% cerca de 6. Con crecimiento de sólo 3%, los tiempos aproximados son 7, 7, 8 y 12 años, respectivamente.</w:t>
      </w:r>
    </w:p>
    <w:p>
      <w:r>
        <w:t>Convergencia de otras brechas: conservar Age_CONV, brecha inicial, horizonte finito, hitos, no-reset, no-backloading y no-banco. Reprogramación requiere puente entre versiones.</w:t>
      </w:r>
    </w:p>
    <w:p>
      <w:pPr>
        <w:pStyle w:val="Heading1"/>
      </w:pPr>
      <w:r>
        <w:t>ANEXO X — OFI: Gobernanza y Procedimientos</w:t>
      </w:r>
    </w:p>
    <w:p>
      <w:r>
        <w:t>Directorio impar, mandatos escalonados, selección pública por mérito, remoción por causa, presupuesto suficiente, incompatibilidades y auditoría externa.</w:t>
      </w:r>
    </w:p>
    <w:p>
      <w:r>
        <w:t>La OFI accede a fuentes primarias y logs, certifica hechos y publica sin autorización previa. No fija impuestos, partidas, políticas ni sanciones penales.</w:t>
      </w:r>
    </w:p>
    <w:p>
      <w:r>
        <w:t>Recaracterización: criterio preexistente + evidencia + motivación + cuantificación + contradicción + revisión judicial. Una controversia no crea espacio fiscal adicional.</w:t>
      </w:r>
    </w:p>
    <w:p>
      <w:pPr>
        <w:pStyle w:val="Heading1"/>
      </w:pPr>
      <w:r>
        <w:t>ANEXO XI — Datos, Sistemas y Certificaciones</w:t>
      </w:r>
    </w:p>
    <w:p>
      <w:r>
        <w:t>Estados: 0=valor conocido cero; NULL=desconocido; NA=no aplicable; PEND=pendiente; EST=estimado identificado. Nunca convertir NULL en cero.</w:t>
      </w:r>
    </w:p>
    <w:p>
      <w:r>
        <w:t>CERT=DataVersion+MethodVersion+CodeVersion+Cutoff+PerimeterVersion+Status. Cada corrección crea nueva versión y conserva la anterior.</w:t>
      </w:r>
    </w:p>
    <w:p>
      <w:r>
        <w:t>Pruebas de código: casos normales, cero, NULL, límites exactos, extremos, redenominación y cambios de perímetro. Snapshot y paquete de cálculo deben reproducir cada certificación.</w:t>
      </w:r>
    </w:p>
    <w:p>
      <w:pPr>
        <w:pStyle w:val="Heading1"/>
      </w:pPr>
      <w:r>
        <w:t>ANEXO XII — Auditoría, Revisión y Recaracterización</w:t>
      </w:r>
    </w:p>
    <w:p>
      <w:r>
        <w:t>Auditoría anual de fórmulas, datos, perímetro, deuda, Fondo, emergencia, recuperación y código. Muestreo reforzado en operaciones vinculadas y cierre de ejercicio.</w:t>
      </w:r>
    </w:p>
    <w:p>
      <w:r>
        <w:t>Toda recaracterización material registra criterio, evidencia, responsable, impacto, respuesta del organismo y resolución. Mantener historial as-reported y restated.</w:t>
      </w:r>
    </w:p>
    <w:p>
      <w:pPr>
        <w:pStyle w:val="Heading1"/>
      </w:pPr>
      <w:r>
        <w:t>ANEXO XIII — Responsabilidad y Matriz de Imputación</w:t>
      </w:r>
    </w:p>
    <w:p>
      <w:r>
        <w:t>Cuatro planos: hecho fiscal; incumplimiento objetivo; responsabilidad institucional; responsabilidad personal. Shock exógeno o brecha heredada no generan culpa automática.</w:t>
      </w:r>
    </w:p>
    <w:p>
      <w:r>
        <w:t>Error razonable se evalúa por diligencia. Negligencia grave, falsificación, ocultamiento, destrucción de evidencia, obstrucción y elusión coordinada justifican escalamiento con debido proceso.</w:t>
      </w:r>
    </w:p>
    <w:p>
      <w:r>
        <w:t>La OFI certifica hechos y remite antecedentes; el órgano competente determina sanciones.</w:t>
      </w:r>
    </w:p>
    <w:p>
      <w:pPr>
        <w:pStyle w:val="Heading1"/>
      </w:pPr>
      <w:r>
        <w:t>ANEXO XIV — Transición, Implementación y Publicación</w:t>
      </w:r>
    </w:p>
    <w:p>
      <w:r>
        <w:t>Fases: inventario → reconstrucción seis años → CERT_0_PRE → observaciones → CERT_0_DEF → planes iniciales → adecuación de sistemas → cierre de transición.</w:t>
      </w:r>
    </w:p>
    <w:p>
      <w:r>
        <w:t>G_0^base tendrá puente público desde gasto observado, excluyendo emergencia, excesos y componentes transitorios e incorporando sólo ajustes permanentes simétricos. Datos faltantes usan EST prudente, nunca cero ficticio.</w:t>
      </w:r>
    </w:p>
    <w:p>
      <w:r>
        <w:t>Publicación web mínima: Constitución, Ley Orgánica, 14 Anexos, Auditoría, historial de versiones, fórmulas legibles, archivos descargables, fecha de vigencia de cada versión y aviso de propuesta normativa.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