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TECHNICAL ANNEXES</w:t>
      </w:r>
    </w:p>
    <w:p>
      <w:r>
        <w:t>Definitive Version 2.1 of the project · 14 annexes · Technical specification for implementation and audit</w:t>
      </w:r>
    </w:p>
    <w:p>
      <w:pPr>
        <w:pStyle w:val="Heading1"/>
      </w:pPr>
      <w:r>
        <w:t>ANNEX I — Master Dictionary of Variables</w:t>
      </w:r>
    </w:p>
    <w:p>
      <w:r>
        <w:t>R_t*: Normalized Computable Structural Fiscal Revenues. Nominal flow for the period. In an actual certification, it is measured on a cash-received basis: revenue actually collected and available, subject to anti-fraud temporal attribution; projections are separately identified by Status and never replace actual data. It excludes debt, asset sales, refundable advances, intra-perimeter resources, and non-recurring extraordinary revenues.</w:t>
      </w:r>
    </w:p>
    <w:p>
      <w:r>
        <w:t>R_t^tot: total admissible fiscal revenues. R_t^temp: genuine but transitory subset. R_t^ref=(1/6)·ΣR_i* for the six homogeneous periods.</w:t>
      </w:r>
    </w:p>
    <w:p>
      <w:r>
        <w:t>TC_t=max[0,(R_t*/R_(t-6)*)^(1/6)-1], applicable only outside the Recovery Regime.</w:t>
      </w:r>
    </w:p>
    <w:p>
      <w:r>
        <w:t>G_t^ef: accrued Computable Primary Expenditure. G_t^base: validated ordinary normative base. G_t^max: applicable Constitutional Expenditure Maximum.</w:t>
      </w:r>
    </w:p>
    <w:p>
      <w:r>
        <w:t>B_t^EST=max(0,G_t^ef-R_t*) measures the observed effective gap. B_t^REC=max(0,G_t^base-R_t*) measures the recovery gap. If either is positive, ordinary nominal growth of G_t^base is not permitted; closure requires both to be zero.</w:t>
      </w:r>
    </w:p>
    <w:p>
      <w:r>
        <w:t>D_t: Computable Gross Public Debt. D_t^max=1.50·min[R_t*,max(R_t^ref,0.60·R_t*)]. I_t: computable financial cost; I_t^max=0.15·R_t*.</w:t>
      </w:r>
    </w:p>
    <w:p>
      <w:r>
        <w:t>F_t=min(F_t^liq,CG_t); F_t^min=0.15·max(R_t*,R_t^ref); F_t^obj=0.25·max(R_t*,R_t^ref).</w:t>
      </w:r>
    </w:p>
    <w:p>
      <w:r>
        <w:t>CE_t: causal incremental emergency cost. RE_t: applicable extraordinary resources. NFE_t=max(0,CE_t-RE_t).</w:t>
      </w:r>
    </w:p>
    <w:p>
      <w:r>
        <w:t>Constitutionally locked fields: formula, percentage, period, and economic meaning. Versionable technical fields: source, format, precision, validation, and extraction method.</w:t>
      </w:r>
    </w:p>
    <w:p>
      <w:pPr>
        <w:pStyle w:val="Heading1"/>
      </w:pPr>
      <w:r>
        <w:t>ANNEX II — Fiscal Perimeter and Consolidation</w:t>
      </w:r>
    </w:p>
    <w:p>
      <w:r>
        <w:t>Apply five tests: control over relevant decisions; economic risk borne; structural dependence; explicit or implicit guarantees; and the intra-perimeter nature of transactions.</w:t>
      </w:r>
    </w:p>
    <w:p>
      <w:r>
        <w:t>Each entity shall have ID_ENT, inclusion/removal date, grounds, control percentage, maximum exposure, and perimeter version. Material changes shall require retrospective informational reconciliation and prospective normative reconciliation.</w:t>
      </w:r>
    </w:p>
    <w:p>
      <w:r>
        <w:t>Internal transactions are eliminated upon consolidation. The formal transfer of an entity does not exclude it if the State substantially retains losses, guarantees, or mandatory financing.</w:t>
      </w:r>
    </w:p>
    <w:p>
      <w:pPr>
        <w:pStyle w:val="Heading1"/>
      </w:pPr>
      <w:r>
        <w:t>ANNEX III — Structural and Total Revenues</w:t>
      </w:r>
    </w:p>
    <w:p>
      <w:r>
        <w:t>Classification: R1-E recurring structural; R2-T genuine transitory; R3-X extraordinary asset-related; R4-F financing; R5-I intra-perimeter.</w:t>
      </w:r>
    </w:p>
    <w:p>
      <w:r>
        <w:t>Only R1-E is automatically included in R_t*. R2-T requires evidence of permanent recurrence before reclassification. R3-X and R4-F are never included in R_t*. R5-I is eliminated.</w:t>
      </w:r>
    </w:p>
    <w:p>
      <w:r>
        <w:t>Advances are attributed to the corresponding economic period. Permanent statutory tax changes shall be documented without projecting as actual revenues not yet received; advance collections attributable to future periods are excluded from R_t* for the current period.</w:t>
      </w:r>
    </w:p>
    <w:p>
      <w:pPr>
        <w:pStyle w:val="Heading1"/>
      </w:pPr>
      <w:r>
        <w:t>ANNEX IV — Primary Expenditure, Accrual, and Base</w:t>
      </w:r>
    </w:p>
    <w:p>
      <w:r>
        <w:t>A service or economic acquisition received in t entails expenditure in t even if paid later. An advance without performance is an asset until receipt. Works are recognized according to verifiable physical and economic progress.</w:t>
      </w:r>
    </w:p>
    <w:p>
      <w:r>
        <w:t>PPPs and leasing are separated into expenditure, principal, and financial cost. Capitalizations and loans are subject to tests of value received and recoverability.</w:t>
      </w:r>
    </w:p>
    <w:p>
      <w:r>
        <w:t>Annual bridge for G_t^base: prior base + permanent changes in powers/perimeter ± certified corrections. Emergency expenditure, unlawful excess expenditure, and transitory expenditure are never incorporated.</w:t>
      </w:r>
    </w:p>
    <w:p>
      <w:r>
        <w:t>Closing control: reconcile purchase orders, receipts, subsequent invoices, trade debt, and payments made during the first months of the following period.</w:t>
      </w:r>
    </w:p>
    <w:p>
      <w:pPr>
        <w:pStyle w:val="Heading1"/>
      </w:pPr>
      <w:r>
        <w:t>ANNEX V — Debt, Refinancing, and New Money</w:t>
      </w:r>
    </w:p>
    <w:p>
      <w:r>
        <w:t>Each material obligation shall have ID_DEBT, creditor, currency, principal, rate, indexation, guarantees, maturities, and full genealogy.</w:t>
      </w:r>
    </w:p>
    <w:p>
      <w:r>
        <w:t>REF_t is only pre-existing principal effectively replaced. NM_t is any additional, released, or diverted portion. Prefinancing requires ID_REF, a limited window, segregation, and subsequent cancellation.</w:t>
      </w:r>
    </w:p>
    <w:p>
      <w:r>
        <w:t>Abnormal trade debt, securitization with credit substance, repos, callable guarantees, and controlled vehicles are incorporated according to economic substance. Double counting shall be avoided when a contingency becomes debt.</w:t>
      </w:r>
    </w:p>
    <w:p>
      <w:pPr>
        <w:pStyle w:val="Heading1"/>
      </w:pPr>
      <w:r>
        <w:t>ANNEX VI — Computable Financial Cost</w:t>
      </w:r>
    </w:p>
    <w:p>
      <w:r>
        <w:t>I_t includes effective interest, discounts, premiums, mandatory fees, guarantees, financial components of PPPs/leasing, and financial indexation. Exchange-rate variation of principal modifies D_t and is not automatically I_t.</w:t>
      </w:r>
    </w:p>
    <w:p>
      <w:r>
        <w:t>Publish gross cost, valid linked hedges, net cost, and accounting-to-fiscal reconciliation. Minimum stress: adverse interest rate, spread, exchange rate, and indexation.</w:t>
      </w:r>
    </w:p>
    <w:p>
      <w:pPr>
        <w:pStyle w:val="Heading1"/>
      </w:pPr>
      <w:r>
        <w:t>ANNEX VII — Stabilization Fund</w:t>
      </w:r>
    </w:p>
    <w:p>
      <w:r>
        <w:t>Instrument-by-instrument inventory: issuer, currency, maturity, price, haircut, availability, encumbrance, counterparty, and concentration. F_t is the lower of prudential liquidity and genuine capital.</w:t>
      </w:r>
    </w:p>
    <w:p>
      <w:r>
        <w:t>Own or intra-perimeter assets are neutralized. Debt issued to constitute the Fund does not create CG_t. Combined market, liquidity, and fiscal-correlation stress.</w:t>
      </w:r>
    </w:p>
    <w:p>
      <w:r>
        <w:t>Each use shall record cause, amount, authorization, and subsequent balance. Replenishment counts only real increases in F_t.</w:t>
      </w:r>
    </w:p>
    <w:p>
      <w:pPr>
        <w:pStyle w:val="Heading1"/>
      </w:pPr>
      <w:r>
        <w:t>ANNEX VIII — Emergencies and Extreme Catastrophe</w:t>
      </w:r>
    </w:p>
    <w:p>
      <w:r>
        <w:t>Mandatory sequence: cause → baseline → CE_t → RE_t → NFE_t → financing → monitoring → reconciliation → Exit_EM.</w:t>
      </w:r>
    </w:p>
    <w:p>
      <w:r>
        <w:t>Each expenditure must demonstrate causality and incrementality. Successive declarations arising from the same cause are accumulated and do not renew limits. Extensions require new evidence and a sunset.</w:t>
      </w:r>
    </w:p>
    <w:p>
      <w:r>
        <w:t>Subsequent reconciliation compares estimates with actuals and reclassifies excesses. An Extreme Constitutional Catastrophe uses the applicable enhanced constitutional procedure, without this annex creating new powers.</w:t>
      </w:r>
    </w:p>
    <w:p>
      <w:pPr>
        <w:pStyle w:val="Heading1"/>
      </w:pPr>
      <w:r>
        <w:t>ANNEX IX — Recovery, Convergence, and Rebalancing</w:t>
      </w:r>
    </w:p>
    <w:p>
      <w:r>
        <w:t>Deficit recovery: if B_t^REC&gt;0 or B_t^EST&gt;0, ordinary nominal growth of G_t^base=0. B_t^REC prevents temporary under-execution from producing an apparent closure. Increases in R_t* reduce the gap without permitting growth; decreases in R_t* likewise do not permit growth. Closure occurs only when B_t^REC=0 and B_t^EST=0 are certified simultaneously.</w:t>
      </w:r>
    </w:p>
    <w:p>
      <w:r>
        <w:t>Illustrative sensitivity test: with an initial deficit equal to 20% of revenues and annual R_t* growth of 6%, freezing expenditure closes the gap in approximately 4 years; allowing 10% of the revenue increase to be used for expenditure also takes about 4 years; 25% takes about 5; 50% about 6. With growth of only 3%, the approximate times are 7, 7, 8, and 12 years, respectively.</w:t>
      </w:r>
    </w:p>
    <w:p>
      <w:r>
        <w:t>Convergence of other gaps: preserve Age_CONV, initial gap, finite horizon, milestones, no-reset, no-backloading, and no-bank. Rescheduling requires a bridge between versions.</w:t>
      </w:r>
    </w:p>
    <w:p>
      <w:pPr>
        <w:pStyle w:val="Heading1"/>
      </w:pPr>
      <w:r>
        <w:t>ANNEX X — Independent Fiscal Office: Governance and Procedures</w:t>
      </w:r>
    </w:p>
    <w:p>
      <w:r>
        <w:t>Odd-numbered governing board, staggered terms, public merit-based selection, removal for cause, sufficient budget, incompatibility rules, and external audit.</w:t>
      </w:r>
    </w:p>
    <w:p>
      <w:r>
        <w:t>The Independent Fiscal Office has access to primary sources and audit logs, certifies facts, and publishes without prior authorization. It does not set taxes, appropriations, policies, or criminal penalties.</w:t>
      </w:r>
    </w:p>
    <w:p>
      <w:r>
        <w:t>Recharacterization: pre-existing criterion + evidence + reasons + quantification + opportunity to contest + judicial review. A dispute does not create additional fiscal space.</w:t>
      </w:r>
    </w:p>
    <w:p>
      <w:pPr>
        <w:pStyle w:val="Heading1"/>
      </w:pPr>
      <w:r>
        <w:t>ANNEX XI — Data, Systems, and Certifications</w:t>
      </w:r>
    </w:p>
    <w:p>
      <w:r>
        <w:t>Statuses: 0=known zero value; NULL=unknown; NA=not applicable; PEND=pending; EST=identified estimate. Never convert NULL to zero.</w:t>
      </w:r>
    </w:p>
    <w:p>
      <w:r>
        <w:t>CERT=DataVersion+MethodVersion+CodeVersion+Cutoff+PerimeterVersion+Status. Each correction creates a new version and preserves the previous one.</w:t>
      </w:r>
    </w:p>
    <w:p>
      <w:r>
        <w:t>Code tests: normal cases, zero, NULL, exact limits, extremes, redenomination, and perimeter changes. The snapshot and calculation package must reproduce each certification.</w:t>
      </w:r>
    </w:p>
    <w:p>
      <w:pPr>
        <w:pStyle w:val="Heading1"/>
      </w:pPr>
      <w:r>
        <w:t>ANNEX XII — Audit, Review, and Recharacterization</w:t>
      </w:r>
    </w:p>
    <w:p>
      <w:r>
        <w:t>Annual audit of formulas, data, perimeter, debt, Fund, emergency, recovery, and code. Enhanced sampling for related transactions and fiscal-year closing.</w:t>
      </w:r>
    </w:p>
    <w:p>
      <w:r>
        <w:t>Every material recharacterization records the criterion, evidence, responsible party, impact, response of the entity concerned, and resolution. Maintain as-reported and restated history.</w:t>
      </w:r>
    </w:p>
    <w:p>
      <w:pPr>
        <w:pStyle w:val="Heading1"/>
      </w:pPr>
      <w:r>
        <w:t>ANNEX XIII — Responsibility and Attribution Matrix</w:t>
      </w:r>
    </w:p>
    <w:p>
      <w:r>
        <w:t>Four levels: fiscal fact; objective non-compliance; institutional responsibility; personal responsibility. An exogenous shock or inherited gap does not create automatic culpability.</w:t>
      </w:r>
    </w:p>
    <w:p>
      <w:r>
        <w:t>A reasonable error is assessed according to diligence. Gross negligence, falsification, concealment, destruction of evidence, obstruction, and coordinated avoidance justify escalation with due process.</w:t>
      </w:r>
    </w:p>
    <w:p>
      <w:r>
        <w:t>The Independent Fiscal Office certifies facts and refers the relevant records; the competent authority determines sanctions.</w:t>
      </w:r>
    </w:p>
    <w:p>
      <w:pPr>
        <w:pStyle w:val="Heading1"/>
      </w:pPr>
      <w:r>
        <w:t>ANNEX XIV — Transition, Implementation, and Publication</w:t>
      </w:r>
    </w:p>
    <w:p>
      <w:r>
        <w:t>Phases: inventory → six-year reconstruction → CERT_0_PRE → observations → CERT_0_DEF → initial plans → systems adaptation → close of transition.</w:t>
      </w:r>
    </w:p>
    <w:p>
      <w:r>
        <w:t>G_0^base shall have a public bridge from observed expenditure, excluding emergency expenditure, excesses, and transitory components and incorporating only symmetric permanent adjustments. Missing data use a prudential EST, never a fictitious zero.</w:t>
      </w:r>
    </w:p>
    <w:p>
      <w:r>
        <w:t>Minimum web publication: Constitution, Organic Law, 14 Annexes, Audit, version history, readable formulas, downloadable files, effective date of each version, and notice that this is a normative proposal.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